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872BE" w14:textId="77777777" w:rsidR="0098653D" w:rsidRDefault="0098653D">
      <w:pPr>
        <w:pStyle w:val="Heading1"/>
        <w:ind w:left="0" w:firstLine="0"/>
        <w:rPr>
          <w:rFonts w:ascii="Arial" w:hAnsi="Arial" w:cs="Arial"/>
          <w:b w:val="0"/>
          <w:bCs/>
          <w:sz w:val="88"/>
          <w:szCs w:val="88"/>
        </w:rPr>
      </w:pPr>
      <w:bookmarkStart w:id="0" w:name="_GoBack"/>
      <w:bookmarkEnd w:id="0"/>
      <w:r>
        <w:rPr>
          <w:rFonts w:ascii="Arial" w:hAnsi="Arial" w:cs="Arial"/>
          <w:b w:val="0"/>
          <w:bCs/>
          <w:sz w:val="88"/>
          <w:szCs w:val="88"/>
        </w:rPr>
        <w:t xml:space="preserve">The AHRQ Quality Indicators </w:t>
      </w:r>
      <w:r>
        <w:rPr>
          <w:rFonts w:ascii="Arial" w:hAnsi="Arial" w:cs="Arial"/>
          <w:b w:val="0"/>
          <w:bCs/>
          <w:sz w:val="88"/>
          <w:szCs w:val="88"/>
        </w:rPr>
        <w:br/>
      </w:r>
      <w:r>
        <w:rPr>
          <w:rFonts w:ascii="Arial" w:hAnsi="Arial" w:cs="Arial"/>
          <w:b w:val="0"/>
          <w:bCs/>
        </w:rPr>
        <w:t>Results and Discussion of Data Analysis</w:t>
      </w:r>
      <w:r>
        <w:rPr>
          <w:rFonts w:ascii="Arial" w:hAnsi="Arial" w:cs="Arial"/>
          <w:b w:val="0"/>
          <w:bCs/>
          <w:sz w:val="88"/>
          <w:szCs w:val="88"/>
        </w:rPr>
        <w:t xml:space="preserve"> </w:t>
      </w:r>
    </w:p>
    <w:p w14:paraId="1F8872BF" w14:textId="77777777" w:rsidR="0098653D" w:rsidRDefault="0098653D">
      <w:pPr>
        <w:pStyle w:val="Heading1"/>
        <w:ind w:left="0" w:firstLine="0"/>
        <w:rPr>
          <w:rFonts w:ascii="Arial" w:hAnsi="Arial" w:cs="Arial"/>
          <w:b w:val="0"/>
          <w:bCs/>
          <w:color w:val="FF0000"/>
        </w:rPr>
      </w:pPr>
      <w:r>
        <w:rPr>
          <w:rFonts w:ascii="Arial" w:hAnsi="Arial" w:cs="Arial"/>
          <w:b w:val="0"/>
          <w:bCs/>
          <w:color w:val="FF0000"/>
        </w:rPr>
        <w:br w:type="page"/>
      </w:r>
      <w:r>
        <w:rPr>
          <w:rFonts w:ascii="Arial" w:hAnsi="Arial" w:cs="Arial"/>
          <w:b w:val="0"/>
          <w:bCs/>
          <w:color w:val="FF0000"/>
        </w:rPr>
        <w:lastRenderedPageBreak/>
        <w:t>INSTRUCTIONS FOR USING THIS TOOL – DELETE THIS SLIDE BEFORE PRESENTATION</w:t>
      </w:r>
    </w:p>
    <w:p w14:paraId="1F8872C0" w14:textId="77777777" w:rsidR="0098653D" w:rsidRDefault="0098653D" w:rsidP="0098653D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i/>
          <w:iCs/>
          <w:sz w:val="56"/>
          <w:szCs w:val="56"/>
        </w:rPr>
      </w:pPr>
      <w:r>
        <w:rPr>
          <w:rFonts w:ascii="Arial" w:hAnsi="Arial" w:cs="Arial"/>
          <w:i/>
          <w:iCs/>
          <w:sz w:val="56"/>
          <w:szCs w:val="56"/>
        </w:rPr>
        <w:t xml:space="preserve">Use this PowerPoint presentation as a template for your presentation. </w:t>
      </w:r>
    </w:p>
    <w:p w14:paraId="1F8872C1" w14:textId="77777777" w:rsidR="0098653D" w:rsidRDefault="0098653D" w:rsidP="0098653D">
      <w:pPr>
        <w:pStyle w:val="Heading2"/>
        <w:numPr>
          <w:ilvl w:val="0"/>
          <w:numId w:val="1"/>
        </w:numPr>
        <w:ind w:left="540" w:hanging="540"/>
        <w:rPr>
          <w:rFonts w:ascii="Arial" w:hAnsi="Arial" w:cs="Arial"/>
          <w:i/>
          <w:iCs/>
          <w:sz w:val="56"/>
          <w:szCs w:val="56"/>
        </w:rPr>
      </w:pPr>
      <w:r>
        <w:rPr>
          <w:rFonts w:ascii="Arial" w:hAnsi="Arial" w:cs="Arial"/>
          <w:i/>
          <w:iCs/>
          <w:sz w:val="56"/>
          <w:szCs w:val="56"/>
        </w:rPr>
        <w:t xml:space="preserve">Replace the charts with charts that you create with your data (use the Excel workbook for guidance) and replace the </w:t>
      </w:r>
      <w:r>
        <w:rPr>
          <w:rFonts w:ascii="Arial" w:hAnsi="Arial" w:cs="Arial"/>
          <w:i/>
          <w:iCs/>
          <w:color w:val="FF0000"/>
          <w:sz w:val="56"/>
          <w:szCs w:val="56"/>
        </w:rPr>
        <w:t>red text</w:t>
      </w:r>
      <w:r>
        <w:rPr>
          <w:rFonts w:ascii="Arial" w:hAnsi="Arial" w:cs="Arial"/>
          <w:i/>
          <w:iCs/>
          <w:sz w:val="56"/>
          <w:szCs w:val="56"/>
        </w:rPr>
        <w:t xml:space="preserve"> with your hospital’s information</w:t>
      </w:r>
      <w:r w:rsidR="002F06E3">
        <w:rPr>
          <w:rFonts w:ascii="Arial" w:hAnsi="Arial" w:cs="Arial"/>
          <w:i/>
          <w:iCs/>
          <w:sz w:val="56"/>
          <w:szCs w:val="56"/>
        </w:rPr>
        <w:t>.</w:t>
      </w:r>
    </w:p>
    <w:p w14:paraId="1F8872C2" w14:textId="77777777" w:rsidR="0098653D" w:rsidRDefault="0098653D" w:rsidP="00A04CCE">
      <w:pPr>
        <w:pStyle w:val="Heading1"/>
        <w:rPr>
          <w:rFonts w:hint="eastAsia"/>
        </w:rPr>
      </w:pPr>
      <w:r>
        <w:br w:type="page"/>
      </w:r>
      <w:r>
        <w:lastRenderedPageBreak/>
        <w:t xml:space="preserve">How can the AHRQ QIs be used in </w:t>
      </w:r>
      <w:r w:rsidR="002F06E3">
        <w:t>q</w:t>
      </w:r>
      <w:r>
        <w:t xml:space="preserve">uality </w:t>
      </w:r>
      <w:r w:rsidR="002F06E3">
        <w:t>a</w:t>
      </w:r>
      <w:r>
        <w:t>ssessment?</w:t>
      </w:r>
    </w:p>
    <w:p w14:paraId="1F8872C3" w14:textId="77777777" w:rsidR="002F06E3" w:rsidRDefault="0098653D" w:rsidP="0098653D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Can be used to</w:t>
      </w:r>
      <w:r w:rsidR="002F06E3">
        <w:rPr>
          <w:rFonts w:ascii="Arial" w:hAnsi="Arial" w:cs="Arial"/>
          <w:sz w:val="56"/>
          <w:szCs w:val="56"/>
        </w:rPr>
        <w:t>:</w:t>
      </w:r>
    </w:p>
    <w:p w14:paraId="1F8872C4" w14:textId="77777777" w:rsidR="0098653D" w:rsidRDefault="002F06E3" w:rsidP="00FE0F14">
      <w:pPr>
        <w:pStyle w:val="Heading2"/>
        <w:numPr>
          <w:ilvl w:val="0"/>
          <w:numId w:val="2"/>
        </w:numPr>
        <w:ind w:left="1080" w:hanging="5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</w:t>
      </w:r>
      <w:r w:rsidR="0098653D">
        <w:rPr>
          <w:rFonts w:ascii="Arial" w:hAnsi="Arial" w:cs="Arial"/>
          <w:sz w:val="56"/>
          <w:szCs w:val="56"/>
        </w:rPr>
        <w:t xml:space="preserve">lag potential problems in quality of care </w:t>
      </w:r>
    </w:p>
    <w:p w14:paraId="1F8872C5" w14:textId="77777777" w:rsidR="0098653D" w:rsidRDefault="0098653D" w:rsidP="00FE0F14">
      <w:pPr>
        <w:pStyle w:val="Heading2"/>
        <w:numPr>
          <w:ilvl w:val="0"/>
          <w:numId w:val="2"/>
        </w:numPr>
        <w:ind w:left="1080" w:hanging="5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Assess performance and compare against peer hospitals</w:t>
      </w:r>
    </w:p>
    <w:p w14:paraId="1F8872C6" w14:textId="77777777" w:rsidR="0098653D" w:rsidRDefault="0098653D" w:rsidP="00FE0F14">
      <w:pPr>
        <w:pStyle w:val="Heading2"/>
        <w:numPr>
          <w:ilvl w:val="0"/>
          <w:numId w:val="2"/>
        </w:numPr>
        <w:ind w:left="1080" w:hanging="5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Observe your hospital’s performance over time</w:t>
      </w:r>
    </w:p>
    <w:p w14:paraId="1F8872C7" w14:textId="77777777" w:rsidR="0098653D" w:rsidRDefault="0098653D">
      <w:pPr>
        <w:pStyle w:val="Heading1"/>
        <w:ind w:left="0" w:firstLine="0"/>
        <w:rPr>
          <w:rFonts w:ascii="Arial" w:hAnsi="Arial" w:cs="Arial"/>
          <w:b w:val="0"/>
          <w:bCs/>
          <w:color w:val="FF0000"/>
          <w:sz w:val="64"/>
          <w:szCs w:val="64"/>
        </w:rPr>
      </w:pPr>
    </w:p>
    <w:p w14:paraId="1F8872C8" w14:textId="77777777" w:rsidR="0098653D" w:rsidRPr="0098653D" w:rsidRDefault="0098653D" w:rsidP="0098653D">
      <w:r w:rsidRPr="0098653D">
        <w:t xml:space="preserve">Source: </w:t>
      </w:r>
      <w:hyperlink r:id="rId12" w:history="1">
        <w:r w:rsidR="00147837">
          <w:rPr>
            <w:rStyle w:val="Hyperlink"/>
          </w:rPr>
          <w:t>www.qualityindicators.ahrq.gov</w:t>
        </w:r>
      </w:hyperlink>
      <w:r w:rsidRPr="0098653D">
        <w:t xml:space="preserve"> and AHRQ Quality Indicator</w:t>
      </w:r>
      <w:r w:rsidR="00147837">
        <w:t>s</w:t>
      </w:r>
      <w:r w:rsidRPr="0098653D">
        <w:t xml:space="preserve"> Toolkit Literature Review </w:t>
      </w:r>
    </w:p>
    <w:p w14:paraId="1F8872C9" w14:textId="77777777" w:rsidR="0098653D" w:rsidRDefault="0098653D" w:rsidP="00A04CCE">
      <w:pPr>
        <w:pStyle w:val="Heading1"/>
        <w:rPr>
          <w:rFonts w:hint="eastAsia"/>
        </w:rPr>
      </w:pPr>
      <w:r>
        <w:rPr>
          <w:color w:val="FF0000"/>
        </w:rPr>
        <w:br w:type="page"/>
      </w:r>
      <w:r>
        <w:rPr>
          <w:color w:val="FF0000"/>
        </w:rPr>
        <w:lastRenderedPageBreak/>
        <w:t>Your Hospital's</w:t>
      </w:r>
      <w:r>
        <w:t xml:space="preserve"> Performance Relative to National Benchmarks</w:t>
      </w:r>
    </w:p>
    <w:p w14:paraId="1F8872CA" w14:textId="77777777" w:rsidR="00C406C9" w:rsidRPr="00C406C9" w:rsidRDefault="008061D8" w:rsidP="00C406C9">
      <w:pPr>
        <w:rPr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8872F7" wp14:editId="1F8872F8">
            <wp:simplePos x="0" y="0"/>
            <wp:positionH relativeFrom="column">
              <wp:posOffset>-499745</wp:posOffset>
            </wp:positionH>
            <wp:positionV relativeFrom="paragraph">
              <wp:posOffset>135255</wp:posOffset>
            </wp:positionV>
            <wp:extent cx="7081520" cy="3208655"/>
            <wp:effectExtent l="0" t="0" r="0" b="0"/>
            <wp:wrapTopAndBottom/>
            <wp:docPr id="4" name="Objec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320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6C9" w:rsidRPr="00C406C9">
        <w:rPr>
          <w:sz w:val="32"/>
          <w:szCs w:val="32"/>
        </w:rPr>
        <w:t xml:space="preserve">Relative to a national sample of hospitals, Your Hospital has similar or better performance on most of the IQIs. </w:t>
      </w:r>
    </w:p>
    <w:p w14:paraId="1F8872CB" w14:textId="77777777" w:rsidR="00C406C9" w:rsidRDefault="008061D8" w:rsidP="00C406C9">
      <w:r>
        <w:t>Notes:</w:t>
      </w:r>
    </w:p>
    <w:p w14:paraId="1F8872CC" w14:textId="77777777" w:rsidR="008061D8" w:rsidRPr="008061D8" w:rsidRDefault="008061D8" w:rsidP="008061D8">
      <w:r w:rsidRPr="008061D8">
        <w:t xml:space="preserve">This chart comes from the Excel worksheet (compare-IQI-rates-benchmark). </w:t>
      </w:r>
    </w:p>
    <w:p w14:paraId="1F8872CD" w14:textId="77777777" w:rsidR="008061D8" w:rsidRPr="00C406C9" w:rsidRDefault="008061D8" w:rsidP="00C406C9"/>
    <w:p w14:paraId="1F8872CE" w14:textId="77777777" w:rsidR="0098653D" w:rsidRDefault="00C406C9" w:rsidP="00A04CCE">
      <w:pPr>
        <w:pStyle w:val="Heading1"/>
        <w:rPr>
          <w:rFonts w:hint="eastAsia"/>
        </w:rPr>
      </w:pPr>
      <w:r>
        <w:rPr>
          <w:color w:val="FF0000"/>
        </w:rPr>
        <w:br w:type="page"/>
      </w:r>
      <w:r w:rsidR="0098653D">
        <w:rPr>
          <w:color w:val="FF0000"/>
        </w:rPr>
        <w:lastRenderedPageBreak/>
        <w:t>Your Hospital's</w:t>
      </w:r>
      <w:r w:rsidR="0098653D">
        <w:t xml:space="preserve"> Performance Relative to National Benchmarks</w:t>
      </w:r>
    </w:p>
    <w:p w14:paraId="1F8872CF" w14:textId="77777777" w:rsidR="008061D8" w:rsidRPr="008061D8" w:rsidRDefault="002F06E3" w:rsidP="008061D8">
      <w:pPr>
        <w:rPr>
          <w:sz w:val="32"/>
          <w:szCs w:val="32"/>
        </w:rPr>
      </w:pPr>
      <w:r w:rsidRPr="00FE0F1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8872F9" wp14:editId="1F8872FA">
            <wp:simplePos x="0" y="0"/>
            <wp:positionH relativeFrom="column">
              <wp:posOffset>-428625</wp:posOffset>
            </wp:positionH>
            <wp:positionV relativeFrom="paragraph">
              <wp:posOffset>115570</wp:posOffset>
            </wp:positionV>
            <wp:extent cx="7086600" cy="3219450"/>
            <wp:effectExtent l="0" t="0" r="0" b="0"/>
            <wp:wrapTopAndBottom/>
            <wp:docPr id="5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61D8" w:rsidRPr="008061D8">
        <w:rPr>
          <w:sz w:val="32"/>
          <w:szCs w:val="32"/>
        </w:rPr>
        <w:t>Relative to a national sample of hospitals, Your Hospital has similar or better performance on many of the PSIs. However, Pressure Ulcers (PSI 3) occur at higher rates than the national sample – this may be an area where Your Hospital should focus quality improvement efforts.</w:t>
      </w:r>
    </w:p>
    <w:p w14:paraId="1F8872D0" w14:textId="77777777" w:rsidR="008061D8" w:rsidRDefault="008061D8" w:rsidP="008061D8">
      <w:r>
        <w:t>Notes:</w:t>
      </w:r>
    </w:p>
    <w:p w14:paraId="1F8872D1" w14:textId="77777777" w:rsidR="008061D8" w:rsidRPr="008061D8" w:rsidRDefault="008061D8" w:rsidP="008061D8">
      <w:r w:rsidRPr="008061D8">
        <w:t xml:space="preserve">This chart comes from the Excel worksheet (compare-PSI-rates-benchmark). </w:t>
      </w:r>
    </w:p>
    <w:p w14:paraId="1F8872D2" w14:textId="77777777" w:rsidR="0098653D" w:rsidRDefault="008061D8">
      <w:pPr>
        <w:pStyle w:val="Heading1"/>
        <w:ind w:left="0" w:firstLine="0"/>
        <w:rPr>
          <w:rFonts w:ascii="Arial" w:hAnsi="Arial" w:cs="Arial"/>
          <w:b w:val="0"/>
          <w:bCs/>
          <w:color w:val="FF0000"/>
        </w:rPr>
      </w:pPr>
      <w:r>
        <w:rPr>
          <w:rFonts w:ascii="Arial" w:hAnsi="Arial" w:cs="Arial"/>
          <w:b w:val="0"/>
          <w:bCs/>
          <w:color w:val="FF0000"/>
        </w:rPr>
        <w:br w:type="page"/>
      </w:r>
      <w:r w:rsidR="0098653D">
        <w:rPr>
          <w:rFonts w:ascii="Arial" w:hAnsi="Arial" w:cs="Arial"/>
          <w:b w:val="0"/>
          <w:bCs/>
          <w:color w:val="FF0000"/>
        </w:rPr>
        <w:lastRenderedPageBreak/>
        <w:t>DELETE THIS SLIDE BEFORE PRESENTATION</w:t>
      </w:r>
    </w:p>
    <w:p w14:paraId="1F8872D3" w14:textId="77777777" w:rsidR="0098653D" w:rsidRDefault="0098653D" w:rsidP="0098653D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i/>
          <w:iCs/>
          <w:sz w:val="56"/>
          <w:szCs w:val="56"/>
        </w:rPr>
      </w:pPr>
      <w:r>
        <w:rPr>
          <w:rFonts w:ascii="Arial" w:hAnsi="Arial" w:cs="Arial"/>
          <w:i/>
          <w:iCs/>
          <w:sz w:val="56"/>
          <w:szCs w:val="56"/>
        </w:rPr>
        <w:t xml:space="preserve">In this example, we will examine the rates of Pressure Ulcers (PSI 3) and how this particular hospital performed over time. </w:t>
      </w:r>
    </w:p>
    <w:p w14:paraId="1F8872D4" w14:textId="77777777" w:rsidR="0098653D" w:rsidRDefault="0098653D" w:rsidP="0098653D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i/>
          <w:iCs/>
          <w:sz w:val="56"/>
          <w:szCs w:val="56"/>
        </w:rPr>
      </w:pPr>
      <w:r>
        <w:rPr>
          <w:rFonts w:ascii="Arial" w:hAnsi="Arial" w:cs="Arial"/>
          <w:i/>
          <w:iCs/>
          <w:sz w:val="56"/>
          <w:szCs w:val="56"/>
        </w:rPr>
        <w:t xml:space="preserve">Determine which indicator(s) you would like to focus on, and fill in these slides based on that indicator and your hospital’s data. </w:t>
      </w:r>
    </w:p>
    <w:p w14:paraId="1F8872D5" w14:textId="77777777" w:rsidR="0098653D" w:rsidRDefault="0098653D" w:rsidP="0098653D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i/>
          <w:iCs/>
          <w:sz w:val="56"/>
          <w:szCs w:val="56"/>
        </w:rPr>
      </w:pPr>
      <w:r>
        <w:rPr>
          <w:rFonts w:ascii="Arial" w:hAnsi="Arial" w:cs="Arial"/>
          <w:i/>
          <w:iCs/>
          <w:sz w:val="56"/>
          <w:szCs w:val="56"/>
        </w:rPr>
        <w:t xml:space="preserve">Based on the information that you would like to present, you may choose not to use all of the slides available here. </w:t>
      </w:r>
    </w:p>
    <w:p w14:paraId="1F8872D6" w14:textId="77777777" w:rsidR="0098653D" w:rsidRDefault="008061D8" w:rsidP="00A04CCE">
      <w:pPr>
        <w:pStyle w:val="Heading1"/>
        <w:rPr>
          <w:rFonts w:hint="eastAsia"/>
        </w:rPr>
      </w:pPr>
      <w:r>
        <w:br w:type="page"/>
      </w:r>
      <w:r w:rsidR="0098653D">
        <w:lastRenderedPageBreak/>
        <w:t xml:space="preserve">Indicators </w:t>
      </w:r>
      <w:r w:rsidR="002F06E3">
        <w:t>T</w:t>
      </w:r>
      <w:r w:rsidR="0098653D">
        <w:t>hat Require Attention</w:t>
      </w:r>
    </w:p>
    <w:p w14:paraId="1F8872D7" w14:textId="77777777" w:rsidR="0098653D" w:rsidRDefault="0098653D" w:rsidP="0098653D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Based on a review of </w:t>
      </w:r>
      <w:r w:rsidR="002F06E3">
        <w:rPr>
          <w:rFonts w:ascii="Arial" w:hAnsi="Arial" w:cs="Arial"/>
          <w:color w:val="FF0000"/>
          <w:sz w:val="56"/>
          <w:szCs w:val="56"/>
        </w:rPr>
        <w:t>Y</w:t>
      </w:r>
      <w:r>
        <w:rPr>
          <w:rFonts w:ascii="Arial" w:hAnsi="Arial" w:cs="Arial"/>
          <w:color w:val="FF0000"/>
          <w:sz w:val="56"/>
          <w:szCs w:val="56"/>
        </w:rPr>
        <w:t xml:space="preserve">our </w:t>
      </w:r>
      <w:r w:rsidR="002F06E3">
        <w:rPr>
          <w:rFonts w:ascii="Arial" w:hAnsi="Arial" w:cs="Arial"/>
          <w:color w:val="FF0000"/>
          <w:sz w:val="56"/>
          <w:szCs w:val="56"/>
        </w:rPr>
        <w:t>H</w:t>
      </w:r>
      <w:r>
        <w:rPr>
          <w:rFonts w:ascii="Arial" w:hAnsi="Arial" w:cs="Arial"/>
          <w:color w:val="FF0000"/>
          <w:sz w:val="56"/>
          <w:szCs w:val="56"/>
        </w:rPr>
        <w:t>ospital’s</w:t>
      </w:r>
      <w:r>
        <w:rPr>
          <w:rFonts w:ascii="Arial" w:hAnsi="Arial" w:cs="Arial"/>
          <w:sz w:val="56"/>
          <w:szCs w:val="56"/>
        </w:rPr>
        <w:t xml:space="preserve"> performance on the IQIs and PSIs, we have decided to focus on the following indicators:</w:t>
      </w:r>
    </w:p>
    <w:p w14:paraId="1F8872D8" w14:textId="77777777" w:rsidR="0098653D" w:rsidRDefault="0098653D" w:rsidP="0098653D">
      <w:pPr>
        <w:pStyle w:val="Heading3"/>
        <w:numPr>
          <w:ilvl w:val="0"/>
          <w:numId w:val="3"/>
        </w:numPr>
        <w:ind w:left="1170" w:hanging="450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Pressure Ulcer (PSI 3)</w:t>
      </w:r>
    </w:p>
    <w:p w14:paraId="1F8872D9" w14:textId="77777777" w:rsidR="0098653D" w:rsidRDefault="0098653D" w:rsidP="0098653D">
      <w:pPr>
        <w:pStyle w:val="Heading3"/>
        <w:numPr>
          <w:ilvl w:val="0"/>
          <w:numId w:val="3"/>
        </w:numPr>
        <w:ind w:left="1170" w:hanging="45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1F8872DA" w14:textId="77777777" w:rsidR="0098653D" w:rsidRDefault="0098653D" w:rsidP="0098653D">
      <w:pPr>
        <w:pStyle w:val="Heading3"/>
        <w:numPr>
          <w:ilvl w:val="0"/>
          <w:numId w:val="3"/>
        </w:numPr>
        <w:ind w:left="1170" w:hanging="45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</w:t>
      </w:r>
    </w:p>
    <w:p w14:paraId="1F8872DB" w14:textId="77777777" w:rsidR="0098653D" w:rsidRDefault="0098653D" w:rsidP="0098653D">
      <w:pPr>
        <w:pStyle w:val="Heading3"/>
        <w:numPr>
          <w:ilvl w:val="0"/>
          <w:numId w:val="3"/>
        </w:numPr>
        <w:ind w:left="1170" w:hanging="45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1F8872DC" w14:textId="77777777" w:rsidR="0098653D" w:rsidRDefault="0098653D" w:rsidP="0098653D">
      <w:pPr>
        <w:pStyle w:val="Heading3"/>
        <w:numPr>
          <w:ilvl w:val="0"/>
          <w:numId w:val="3"/>
        </w:numPr>
        <w:ind w:left="1170" w:hanging="45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p w14:paraId="1F8872DD" w14:textId="77777777" w:rsidR="0098653D" w:rsidRDefault="008061D8">
      <w:pPr>
        <w:pStyle w:val="Heading1"/>
        <w:ind w:left="0" w:firstLine="0"/>
        <w:rPr>
          <w:rFonts w:ascii="Arial" w:hAnsi="Arial" w:cs="Arial"/>
          <w:b w:val="0"/>
          <w:bCs/>
          <w:color w:val="FF0000"/>
        </w:rPr>
      </w:pPr>
      <w:r>
        <w:rPr>
          <w:rFonts w:ascii="Arial" w:hAnsi="Arial" w:cs="Arial"/>
          <w:b w:val="0"/>
          <w:bCs/>
          <w:color w:val="FF0000"/>
        </w:rPr>
        <w:br w:type="page"/>
      </w:r>
      <w:r w:rsidR="0098653D">
        <w:rPr>
          <w:rFonts w:ascii="Arial" w:hAnsi="Arial" w:cs="Arial"/>
          <w:b w:val="0"/>
          <w:bCs/>
          <w:color w:val="FF0000"/>
        </w:rPr>
        <w:lastRenderedPageBreak/>
        <w:t>DELETE THIS SLIDE BEFORE PRESENTATION</w:t>
      </w:r>
    </w:p>
    <w:p w14:paraId="1F8872DE" w14:textId="77777777" w:rsidR="0098653D" w:rsidRDefault="0098653D" w:rsidP="0098653D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i/>
          <w:iCs/>
          <w:sz w:val="56"/>
          <w:szCs w:val="56"/>
        </w:rPr>
      </w:pPr>
      <w:r>
        <w:rPr>
          <w:rFonts w:ascii="Arial" w:hAnsi="Arial" w:cs="Arial"/>
          <w:i/>
          <w:iCs/>
          <w:sz w:val="56"/>
          <w:szCs w:val="56"/>
        </w:rPr>
        <w:t xml:space="preserve">You may want to include information about the indicator as background information. </w:t>
      </w:r>
    </w:p>
    <w:p w14:paraId="1F8872DF" w14:textId="77777777" w:rsidR="0098653D" w:rsidRDefault="0098653D" w:rsidP="0098653D">
      <w:pPr>
        <w:pStyle w:val="Heading2"/>
        <w:numPr>
          <w:ilvl w:val="0"/>
          <w:numId w:val="2"/>
        </w:numPr>
        <w:ind w:left="540" w:hanging="5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i/>
          <w:iCs/>
          <w:sz w:val="56"/>
          <w:szCs w:val="56"/>
        </w:rPr>
        <w:t xml:space="preserve">Go to </w:t>
      </w:r>
      <w:hyperlink r:id="rId15" w:history="1">
        <w:r w:rsidR="00147837" w:rsidRPr="00147837">
          <w:rPr>
            <w:rStyle w:val="Hyperlink"/>
            <w:rFonts w:ascii="Arial" w:hAnsi="Arial" w:cs="Arial"/>
            <w:i/>
            <w:iCs/>
            <w:sz w:val="56"/>
            <w:szCs w:val="56"/>
          </w:rPr>
          <w:t>www.qualityindicators.ahrq.gov/</w:t>
        </w:r>
      </w:hyperlink>
      <w:r>
        <w:rPr>
          <w:rFonts w:ascii="Arial" w:hAnsi="Arial" w:cs="Arial"/>
          <w:sz w:val="56"/>
          <w:szCs w:val="56"/>
        </w:rPr>
        <w:t xml:space="preserve"> </w:t>
      </w:r>
      <w:r>
        <w:rPr>
          <w:rFonts w:ascii="Arial" w:hAnsi="Arial" w:cs="Arial"/>
          <w:i/>
          <w:iCs/>
          <w:sz w:val="56"/>
          <w:szCs w:val="56"/>
        </w:rPr>
        <w:t>or see the Fact Sheet in this toolkit (Tool A1) to obtain this information.</w:t>
      </w:r>
    </w:p>
    <w:p w14:paraId="1F8872E0" w14:textId="77777777" w:rsidR="0098653D" w:rsidRDefault="008061D8" w:rsidP="00FE0F14">
      <w:pPr>
        <w:pStyle w:val="Heading1"/>
        <w:rPr>
          <w:rFonts w:hint="eastAsia"/>
        </w:rPr>
      </w:pPr>
      <w:r>
        <w:br w:type="page"/>
      </w:r>
      <w:r w:rsidR="0098653D">
        <w:lastRenderedPageBreak/>
        <w:t>A PSI Example</w:t>
      </w:r>
      <w:r w:rsidR="002F06E3">
        <w:t xml:space="preserve">: </w:t>
      </w:r>
      <w:r w:rsidR="0098653D">
        <w:t>Pressure Ulcer (PSI 3)</w:t>
      </w:r>
    </w:p>
    <w:p w14:paraId="1F8872E1" w14:textId="77777777" w:rsidR="0098653D" w:rsidRDefault="0098653D" w:rsidP="0098653D">
      <w:pPr>
        <w:pStyle w:val="Heading2"/>
        <w:numPr>
          <w:ilvl w:val="0"/>
          <w:numId w:val="4"/>
        </w:numPr>
        <w:ind w:left="370" w:hanging="370"/>
        <w:rPr>
          <w:rFonts w:ascii="Arial" w:hAnsi="Arial" w:cs="Arial"/>
        </w:rPr>
      </w:pPr>
      <w:r>
        <w:rPr>
          <w:rFonts w:ascii="Arial" w:hAnsi="Arial" w:cs="Arial"/>
        </w:rPr>
        <w:t xml:space="preserve">Numerator: Discharges with ICD-9-CM code of pressure ulcer in any secondary diagnosis field among cases meeting the inclusion and exclusion rules for the denominator </w:t>
      </w:r>
    </w:p>
    <w:p w14:paraId="1F8872E2" w14:textId="77777777" w:rsidR="0098653D" w:rsidRDefault="0098653D" w:rsidP="0098653D">
      <w:pPr>
        <w:pStyle w:val="Heading2"/>
        <w:numPr>
          <w:ilvl w:val="0"/>
          <w:numId w:val="4"/>
        </w:numPr>
        <w:ind w:left="370" w:hanging="370"/>
        <w:rPr>
          <w:rFonts w:ascii="Arial" w:hAnsi="Arial" w:cs="Arial"/>
        </w:rPr>
      </w:pPr>
      <w:r>
        <w:rPr>
          <w:rFonts w:ascii="Arial" w:hAnsi="Arial" w:cs="Arial"/>
        </w:rPr>
        <w:t xml:space="preserve">Denominator: All medical and surgical discharges age 18 years and older defined by specific DRGs or </w:t>
      </w:r>
      <w:r w:rsidR="002F06E3">
        <w:rPr>
          <w:rFonts w:ascii="Arial" w:hAnsi="Arial" w:cs="Arial"/>
        </w:rPr>
        <w:t xml:space="preserve">Medicare Severity </w:t>
      </w:r>
      <w:r>
        <w:rPr>
          <w:rFonts w:ascii="Arial" w:hAnsi="Arial" w:cs="Arial"/>
        </w:rPr>
        <w:t>DRGs</w:t>
      </w:r>
      <w:r w:rsidR="00A04CCE">
        <w:rPr>
          <w:rFonts w:ascii="Arial" w:hAnsi="Arial" w:cs="Arial"/>
        </w:rPr>
        <w:t xml:space="preserve"> that do not meet any of the exclusion criteria</w:t>
      </w:r>
      <w:r>
        <w:rPr>
          <w:rFonts w:ascii="Arial" w:hAnsi="Arial" w:cs="Arial"/>
        </w:rPr>
        <w:t xml:space="preserve"> </w:t>
      </w:r>
    </w:p>
    <w:p w14:paraId="1F8872E3" w14:textId="77777777" w:rsidR="0098653D" w:rsidRDefault="0098653D" w:rsidP="0098653D">
      <w:pPr>
        <w:pStyle w:val="Heading2"/>
        <w:numPr>
          <w:ilvl w:val="0"/>
          <w:numId w:val="4"/>
        </w:numPr>
        <w:ind w:left="370" w:hanging="37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DELETE THIS TEXT BEFORE PRESENTATION: Replace this information with information about your chosen indicators. Copy this slide and repeat as necessary. </w:t>
      </w:r>
    </w:p>
    <w:p w14:paraId="1F8872E4" w14:textId="77777777" w:rsidR="008061D8" w:rsidRDefault="008061D8" w:rsidP="008061D8"/>
    <w:p w14:paraId="1F8872E5" w14:textId="77777777" w:rsidR="002F06E3" w:rsidRDefault="002F06E3" w:rsidP="008061D8">
      <w:r>
        <w:t>ICD-9 = International Classification of Diseases, 9</w:t>
      </w:r>
      <w:r w:rsidRPr="00FE0F14">
        <w:rPr>
          <w:vertAlign w:val="superscript"/>
        </w:rPr>
        <w:t>th</w:t>
      </w:r>
      <w:r>
        <w:t xml:space="preserve"> Revision; DRG = diagnosis-related group.</w:t>
      </w:r>
    </w:p>
    <w:p w14:paraId="1F8872E6" w14:textId="77777777" w:rsidR="008061D8" w:rsidRPr="008061D8" w:rsidRDefault="008061D8" w:rsidP="008061D8">
      <w:r w:rsidRPr="008061D8">
        <w:t>Source</w:t>
      </w:r>
      <w:r w:rsidRPr="008061D8">
        <w:rPr>
          <w:i/>
          <w:iCs/>
        </w:rPr>
        <w:t xml:space="preserve">: </w:t>
      </w:r>
      <w:hyperlink r:id="rId16" w:history="1">
        <w:r w:rsidR="00147837">
          <w:rPr>
            <w:rStyle w:val="Hyperlink"/>
            <w:i/>
            <w:iCs/>
          </w:rPr>
          <w:t>www.qualityindicators.ahrq.gov/Modules/PSI_TechSpec.aspx</w:t>
        </w:r>
      </w:hyperlink>
      <w:r w:rsidR="00147837">
        <w:rPr>
          <w:i/>
          <w:iCs/>
        </w:rPr>
        <w:t>.</w:t>
      </w:r>
    </w:p>
    <w:p w14:paraId="1F8872E7" w14:textId="77777777" w:rsidR="008061D8" w:rsidRPr="008061D8" w:rsidRDefault="008061D8" w:rsidP="008061D8"/>
    <w:p w14:paraId="2EB7DB5D" w14:textId="72DFD862" w:rsidR="00DE66F2" w:rsidRDefault="008061D8" w:rsidP="00DE66F2">
      <w:pPr>
        <w:pStyle w:val="Heading1"/>
        <w:rPr>
          <w:rFonts w:hint="eastAsia"/>
        </w:rPr>
      </w:pPr>
      <w:r>
        <w:br w:type="page"/>
      </w:r>
      <w:r w:rsidR="0098653D">
        <w:lastRenderedPageBreak/>
        <w:t>Compar</w:t>
      </w:r>
      <w:r w:rsidR="002F06E3">
        <w:t>ing</w:t>
      </w:r>
      <w:r w:rsidR="0098653D">
        <w:t xml:space="preserve"> Performance Over Time</w:t>
      </w:r>
    </w:p>
    <w:p w14:paraId="107D2F26" w14:textId="77777777" w:rsidR="00DE66F2" w:rsidRPr="00DE66F2" w:rsidRDefault="00DE66F2" w:rsidP="00DE66F2"/>
    <w:p w14:paraId="3B7B1DEC" w14:textId="3EA24939" w:rsidR="00DE66F2" w:rsidRDefault="00DE66F2" w:rsidP="00DE66F2">
      <w:pPr>
        <w:pStyle w:val="Heading1"/>
        <w:jc w:val="left"/>
        <w:rPr>
          <w:rFonts w:hint="eastAsia"/>
        </w:rPr>
      </w:pPr>
      <w:r>
        <w:rPr>
          <w:noProof/>
        </w:rPr>
        <w:drawing>
          <wp:inline distT="0" distB="0" distL="0" distR="0" wp14:anchorId="4A6C13D5" wp14:editId="65CFAB6A">
            <wp:extent cx="6181725" cy="4419600"/>
            <wp:effectExtent l="0" t="0" r="9525" b="19050"/>
            <wp:docPr id="2" name="Chart 2" descr="x-axis: year and unit 1, y-axis: per 1000 cases and unit is .01" title="Examining Observed Rates of Pressure Ulcers (PSI 3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6232DE3" w14:textId="77777777" w:rsidR="00DE66F2" w:rsidRDefault="00DE66F2" w:rsidP="00DE66F2">
      <w:r>
        <w:t>Notes:</w:t>
      </w:r>
    </w:p>
    <w:p w14:paraId="3EA442C5" w14:textId="77777777" w:rsidR="00DE66F2" w:rsidRDefault="00DE66F2" w:rsidP="00DE66F2">
      <w:r w:rsidRPr="008061D8">
        <w:t xml:space="preserve">This chart comes from the Excel worksheet (trend-observed). </w:t>
      </w:r>
    </w:p>
    <w:p w14:paraId="642DB607" w14:textId="48AD10AC" w:rsidR="00DE66F2" w:rsidRDefault="00DE66F2" w:rsidP="00DE66F2">
      <w:pPr>
        <w:pStyle w:val="Heading1"/>
        <w:jc w:val="left"/>
        <w:rPr>
          <w:rFonts w:hint="eastAsia"/>
        </w:rPr>
      </w:pPr>
    </w:p>
    <w:p w14:paraId="32656011" w14:textId="77777777" w:rsidR="0098653D" w:rsidRDefault="008061D8" w:rsidP="00DE66F2">
      <w:pPr>
        <w:pStyle w:val="Heading1"/>
        <w:jc w:val="left"/>
        <w:rPr>
          <w:rFonts w:hint="eastAsia"/>
        </w:rPr>
      </w:pPr>
      <w:r w:rsidRPr="00DE66F2">
        <w:br w:type="page"/>
      </w:r>
      <w:r w:rsidR="0098653D">
        <w:lastRenderedPageBreak/>
        <w:t>Compar</w:t>
      </w:r>
      <w:r w:rsidR="002F06E3">
        <w:t>ing</w:t>
      </w:r>
      <w:r w:rsidR="0098653D">
        <w:t xml:space="preserve"> Observed Performance to Expected Performance over </w:t>
      </w:r>
      <w:r w:rsidR="002F06E3">
        <w:t>T</w:t>
      </w:r>
      <w:r w:rsidR="0098653D">
        <w:t>ime</w:t>
      </w:r>
    </w:p>
    <w:p w14:paraId="3363A0A2" w14:textId="77777777" w:rsidR="00E326BE" w:rsidRPr="00E326BE" w:rsidRDefault="00E326BE" w:rsidP="00E326BE"/>
    <w:p w14:paraId="1F8872EC" w14:textId="5480C110" w:rsidR="008061D8" w:rsidRDefault="00E326BE" w:rsidP="008061D8">
      <w:r>
        <w:rPr>
          <w:noProof/>
        </w:rPr>
        <w:drawing>
          <wp:inline distT="0" distB="0" distL="0" distR="0" wp14:anchorId="6A7B65DE" wp14:editId="14FE37D4">
            <wp:extent cx="6543675" cy="4981575"/>
            <wp:effectExtent l="0" t="0" r="9525" b="9525"/>
            <wp:docPr id="1" name="Chart 1" descr="x-axis: Year and unit is 1, y-axis: Per 1000 cases and unit .01" title="Comparing Observed Rates of Pressure Ulcers(PSI 3) to Expexted Rate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061D8">
        <w:t>Notes:</w:t>
      </w:r>
    </w:p>
    <w:p w14:paraId="1F8872ED" w14:textId="77777777" w:rsidR="008061D8" w:rsidRPr="008061D8" w:rsidRDefault="008061D8" w:rsidP="008061D8">
      <w:r w:rsidRPr="008061D8">
        <w:t xml:space="preserve">This chart comes from the Excel worksheet (trend-observed-expected). </w:t>
      </w:r>
    </w:p>
    <w:p w14:paraId="1F8872EE" w14:textId="77777777" w:rsidR="0098653D" w:rsidRDefault="008061D8" w:rsidP="00A04CCE">
      <w:pPr>
        <w:pStyle w:val="Heading1"/>
        <w:rPr>
          <w:rFonts w:hint="eastAsia"/>
        </w:rPr>
      </w:pPr>
      <w:r>
        <w:br w:type="page"/>
      </w:r>
      <w:r w:rsidR="0098653D">
        <w:lastRenderedPageBreak/>
        <w:t>Comparing Risk</w:t>
      </w:r>
      <w:r w:rsidR="002F06E3">
        <w:t>-</w:t>
      </w:r>
      <w:r w:rsidR="0098653D">
        <w:t>Adjusted and Smoothed Rates Over Time</w:t>
      </w:r>
    </w:p>
    <w:p w14:paraId="367CA0F8" w14:textId="77777777" w:rsidR="00A83D47" w:rsidRPr="00A83D47" w:rsidRDefault="00A83D47" w:rsidP="00A83D47"/>
    <w:p w14:paraId="0E3B02C1" w14:textId="4AF4DC44" w:rsidR="00CA5446" w:rsidRDefault="00CA5446" w:rsidP="008061D8">
      <w:r>
        <w:rPr>
          <w:noProof/>
        </w:rPr>
        <w:drawing>
          <wp:inline distT="0" distB="0" distL="0" distR="0" wp14:anchorId="2EB2FF29" wp14:editId="40C7B4DC">
            <wp:extent cx="6490335" cy="5425440"/>
            <wp:effectExtent l="0" t="0" r="24765" b="22860"/>
            <wp:docPr id="6" name="Chart 6" descr="x-axis: Year and unit is 1, y-axis: Per 1000 cases and unit .01" title="Risk-adjusted and Smoothed Rates of Pressure Ulcers (PSI 3)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F8872EF" w14:textId="13BD01A7" w:rsidR="008061D8" w:rsidRDefault="008061D8" w:rsidP="008061D8">
      <w:r>
        <w:t>Notes:</w:t>
      </w:r>
    </w:p>
    <w:p w14:paraId="1F8872F0" w14:textId="77777777" w:rsidR="008061D8" w:rsidRPr="008061D8" w:rsidRDefault="008061D8" w:rsidP="008061D8">
      <w:r w:rsidRPr="008061D8">
        <w:t xml:space="preserve">This chart comes from the Excel worksheet (trend-risk-adjusted-smoothed). </w:t>
      </w:r>
    </w:p>
    <w:p w14:paraId="1F8872F1" w14:textId="77777777" w:rsidR="0098653D" w:rsidRDefault="008061D8" w:rsidP="00A04CCE">
      <w:pPr>
        <w:pStyle w:val="Heading1"/>
        <w:rPr>
          <w:rFonts w:hint="eastAsia"/>
        </w:rPr>
      </w:pPr>
      <w:r>
        <w:br w:type="page"/>
      </w:r>
      <w:r w:rsidR="0098653D">
        <w:lastRenderedPageBreak/>
        <w:t>Evaluating Case Mix Relative to Other Hospitals</w:t>
      </w:r>
    </w:p>
    <w:p w14:paraId="44FB4225" w14:textId="77777777" w:rsidR="009A7306" w:rsidRPr="009A7306" w:rsidRDefault="009A7306" w:rsidP="009A7306"/>
    <w:p w14:paraId="6A1A6EAE" w14:textId="77777777" w:rsidR="009A7306" w:rsidRDefault="009A7306" w:rsidP="008061D8">
      <w:r>
        <w:rPr>
          <w:noProof/>
        </w:rPr>
        <w:drawing>
          <wp:inline distT="0" distB="0" distL="0" distR="0" wp14:anchorId="105D0DDA" wp14:editId="7D70D730">
            <wp:extent cx="6181725" cy="4448175"/>
            <wp:effectExtent l="0" t="0" r="9525" b="9525"/>
            <wp:docPr id="12" name="Chart 12" descr="x-axis: Year and unit 1, y-axis: Per 1000 cases and unit is .005" title="Comparing Expected Rates of Pressure(PSI 3) to the benchmark rates in order to compare case mix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F8872F2" w14:textId="1315072B" w:rsidR="008061D8" w:rsidRDefault="008061D8" w:rsidP="008061D8">
      <w:r>
        <w:t>Notes:</w:t>
      </w:r>
    </w:p>
    <w:p w14:paraId="1F8872F3" w14:textId="77777777" w:rsidR="008061D8" w:rsidRPr="008061D8" w:rsidRDefault="008061D8" w:rsidP="008061D8">
      <w:r w:rsidRPr="008061D8">
        <w:t xml:space="preserve">This chart comes from the Excel worksheet (trend-expected-benchmark). </w:t>
      </w:r>
    </w:p>
    <w:p w14:paraId="1F8872F4" w14:textId="3779E18C" w:rsidR="0098653D" w:rsidRDefault="008061D8" w:rsidP="00A04CCE">
      <w:pPr>
        <w:pStyle w:val="Heading1"/>
        <w:rPr>
          <w:rFonts w:hint="eastAsia"/>
        </w:rPr>
      </w:pPr>
      <w:r>
        <w:br w:type="page"/>
      </w:r>
      <w:r w:rsidR="0098653D">
        <w:lastRenderedPageBreak/>
        <w:t>Compar</w:t>
      </w:r>
      <w:r w:rsidR="002F06E3">
        <w:t>ing</w:t>
      </w:r>
      <w:r w:rsidR="0098653D">
        <w:t xml:space="preserve"> Hospital’s Performance to National Performance </w:t>
      </w:r>
      <w:r w:rsidR="002F06E3">
        <w:t>O</w:t>
      </w:r>
      <w:r w:rsidR="0098653D">
        <w:t>ver Time</w:t>
      </w:r>
    </w:p>
    <w:p w14:paraId="504084F0" w14:textId="77777777" w:rsidR="00B84066" w:rsidRPr="00B84066" w:rsidRDefault="00B84066" w:rsidP="00B84066"/>
    <w:p w14:paraId="1F8872F5" w14:textId="56F204B5" w:rsidR="008061D8" w:rsidRDefault="00B84066" w:rsidP="008061D8">
      <w:r>
        <w:rPr>
          <w:noProof/>
        </w:rPr>
        <w:drawing>
          <wp:inline distT="0" distB="0" distL="0" distR="0" wp14:anchorId="1DAB6D98" wp14:editId="309487B9">
            <wp:extent cx="6134100" cy="4867275"/>
            <wp:effectExtent l="0" t="0" r="19050" b="9525"/>
            <wp:docPr id="13" name="Chart 13" descr="x-axis: Year and unit is 2, y-axis: Per 1000 cases and unit .01" title="Comparing Risk-adjusted Rates of Pressure(PSI 3) to the benchmark rate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8061D8">
        <w:t>Notes:</w:t>
      </w:r>
    </w:p>
    <w:p w14:paraId="1F8872F6" w14:textId="77777777" w:rsidR="008061D8" w:rsidRPr="008061D8" w:rsidRDefault="008061D8" w:rsidP="008061D8">
      <w:r w:rsidRPr="008061D8">
        <w:t>This chart comes from the Excel worksheet (trend-risk-adjusted-benchmark).</w:t>
      </w:r>
    </w:p>
    <w:sectPr w:rsidR="008061D8" w:rsidRPr="008061D8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97CB" w14:textId="77777777" w:rsidR="00870DA7" w:rsidRDefault="00870DA7" w:rsidP="00147837">
      <w:pPr>
        <w:spacing w:after="0" w:line="240" w:lineRule="auto"/>
      </w:pPr>
      <w:r>
        <w:separator/>
      </w:r>
    </w:p>
  </w:endnote>
  <w:endnote w:type="continuationSeparator" w:id="0">
    <w:p w14:paraId="4882657F" w14:textId="77777777" w:rsidR="00870DA7" w:rsidRDefault="00870DA7" w:rsidP="00147837">
      <w:pPr>
        <w:spacing w:after="0" w:line="240" w:lineRule="auto"/>
      </w:pPr>
      <w:r>
        <w:continuationSeparator/>
      </w:r>
    </w:p>
  </w:endnote>
  <w:endnote w:type="continuationNotice" w:id="1">
    <w:p w14:paraId="1CB92497" w14:textId="77777777" w:rsidR="00B01C79" w:rsidRDefault="00B01C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98670862"/>
      <w:docPartObj>
        <w:docPartGallery w:val="Page Numbers (Bottom of Page)"/>
        <w:docPartUnique/>
      </w:docPartObj>
    </w:sdtPr>
    <w:sdtEndPr/>
    <w:sdtContent>
      <w:p w14:paraId="1F88730A" w14:textId="77777777" w:rsidR="00147837" w:rsidRPr="00147837" w:rsidRDefault="00147837" w:rsidP="00147837">
        <w:pPr>
          <w:tabs>
            <w:tab w:val="center" w:pos="4680"/>
            <w:tab w:val="right" w:pos="9360"/>
          </w:tabs>
          <w:spacing w:after="0" w:line="240" w:lineRule="auto"/>
          <w:rPr>
            <w:rFonts w:ascii="Times New Roman" w:hAnsi="Times New Roman"/>
            <w:sz w:val="24"/>
          </w:rPr>
        </w:pPr>
        <w:r w:rsidRPr="00147837">
          <w:rPr>
            <w:rFonts w:ascii="Arial" w:eastAsia="SimSun" w:hAnsi="Arial" w:cs="Arial"/>
            <w:sz w:val="16"/>
            <w:szCs w:val="16"/>
            <w:lang w:eastAsia="zh-CN"/>
          </w:rPr>
          <w:tab/>
        </w:r>
        <w:r w:rsidRPr="00147837">
          <w:rPr>
            <w:rFonts w:ascii="Arial" w:eastAsia="SimSun" w:hAnsi="Arial" w:cs="Arial"/>
            <w:sz w:val="16"/>
            <w:szCs w:val="16"/>
            <w:lang w:eastAsia="zh-CN"/>
          </w:rPr>
          <w:fldChar w:fldCharType="begin"/>
        </w:r>
        <w:r w:rsidRPr="00147837">
          <w:rPr>
            <w:rFonts w:ascii="Arial" w:eastAsia="SimSun" w:hAnsi="Arial" w:cs="Arial"/>
            <w:sz w:val="16"/>
            <w:szCs w:val="16"/>
            <w:lang w:eastAsia="zh-CN"/>
          </w:rPr>
          <w:instrText xml:space="preserve"> PAGE   \* MERGEFORMAT </w:instrText>
        </w:r>
        <w:r w:rsidRPr="00147837">
          <w:rPr>
            <w:rFonts w:ascii="Arial" w:eastAsia="SimSun" w:hAnsi="Arial" w:cs="Arial"/>
            <w:sz w:val="16"/>
            <w:szCs w:val="16"/>
            <w:lang w:eastAsia="zh-CN"/>
          </w:rPr>
          <w:fldChar w:fldCharType="separate"/>
        </w:r>
        <w:r w:rsidR="00AC2161">
          <w:rPr>
            <w:rFonts w:ascii="Arial" w:eastAsia="SimSun" w:hAnsi="Arial" w:cs="Arial"/>
            <w:noProof/>
            <w:sz w:val="16"/>
            <w:szCs w:val="16"/>
            <w:lang w:eastAsia="zh-CN"/>
          </w:rPr>
          <w:t>1</w:t>
        </w:r>
        <w:r w:rsidRPr="00147837">
          <w:rPr>
            <w:rFonts w:ascii="Arial" w:eastAsia="SimSun" w:hAnsi="Arial" w:cs="Arial"/>
            <w:sz w:val="16"/>
            <w:szCs w:val="16"/>
            <w:lang w:eastAsia="zh-CN"/>
          </w:rPr>
          <w:fldChar w:fldCharType="end"/>
        </w:r>
        <w:r w:rsidRPr="00147837">
          <w:rPr>
            <w:rFonts w:ascii="Arial" w:eastAsia="SimSun" w:hAnsi="Arial" w:cs="Arial"/>
            <w:sz w:val="16"/>
            <w:szCs w:val="16"/>
            <w:lang w:eastAsia="zh-CN"/>
          </w:rPr>
          <w:tab/>
          <w:t xml:space="preserve">Tool </w:t>
        </w:r>
        <w:r>
          <w:rPr>
            <w:rFonts w:ascii="Arial" w:eastAsia="SimSun" w:hAnsi="Arial" w:cs="Arial"/>
            <w:sz w:val="16"/>
            <w:szCs w:val="16"/>
            <w:lang w:eastAsia="zh-CN"/>
          </w:rPr>
          <w:t>B</w:t>
        </w:r>
        <w:r w:rsidRPr="00147837">
          <w:rPr>
            <w:rFonts w:ascii="Arial" w:eastAsia="SimSun" w:hAnsi="Arial" w:cs="Arial"/>
            <w:sz w:val="16"/>
            <w:szCs w:val="16"/>
            <w:lang w:eastAsia="zh-CN"/>
          </w:rPr>
          <w:t>.</w:t>
        </w:r>
        <w:r>
          <w:rPr>
            <w:rFonts w:ascii="Arial" w:eastAsia="SimSun" w:hAnsi="Arial" w:cs="Arial"/>
            <w:sz w:val="16"/>
            <w:szCs w:val="16"/>
            <w:lang w:eastAsia="zh-CN"/>
          </w:rPr>
          <w:t>3b</w:t>
        </w:r>
      </w:p>
    </w:sdtContent>
  </w:sdt>
  <w:p w14:paraId="1F88730B" w14:textId="77777777" w:rsidR="00147837" w:rsidRDefault="00147837" w:rsidP="00147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3B857" w14:textId="77777777" w:rsidR="00870DA7" w:rsidRDefault="00870DA7" w:rsidP="00147837">
      <w:pPr>
        <w:spacing w:after="0" w:line="240" w:lineRule="auto"/>
      </w:pPr>
      <w:r>
        <w:separator/>
      </w:r>
    </w:p>
  </w:footnote>
  <w:footnote w:type="continuationSeparator" w:id="0">
    <w:p w14:paraId="59A8ACC2" w14:textId="77777777" w:rsidR="00870DA7" w:rsidRDefault="00870DA7" w:rsidP="00147837">
      <w:pPr>
        <w:spacing w:after="0" w:line="240" w:lineRule="auto"/>
      </w:pPr>
      <w:r>
        <w:continuationSeparator/>
      </w:r>
    </w:p>
  </w:footnote>
  <w:footnote w:type="continuationNotice" w:id="1">
    <w:p w14:paraId="0106B626" w14:textId="77777777" w:rsidR="00B01C79" w:rsidRDefault="00B01C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87309" w14:textId="77777777" w:rsidR="00147837" w:rsidRPr="00FE0F14" w:rsidRDefault="00147837" w:rsidP="00FE0F14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AHRQ Quality Indicators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52AE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3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3D"/>
    <w:rsid w:val="001252C3"/>
    <w:rsid w:val="00147837"/>
    <w:rsid w:val="001A5A31"/>
    <w:rsid w:val="002965EB"/>
    <w:rsid w:val="002A515A"/>
    <w:rsid w:val="002F06E3"/>
    <w:rsid w:val="006F4BF2"/>
    <w:rsid w:val="006F5EEE"/>
    <w:rsid w:val="007A155E"/>
    <w:rsid w:val="008061D8"/>
    <w:rsid w:val="00870DA7"/>
    <w:rsid w:val="008C72F8"/>
    <w:rsid w:val="0098653D"/>
    <w:rsid w:val="009A7306"/>
    <w:rsid w:val="00A04CCE"/>
    <w:rsid w:val="00A83D47"/>
    <w:rsid w:val="00AC2161"/>
    <w:rsid w:val="00B01C79"/>
    <w:rsid w:val="00B84066"/>
    <w:rsid w:val="00BD6206"/>
    <w:rsid w:val="00C406C9"/>
    <w:rsid w:val="00CA5446"/>
    <w:rsid w:val="00CF3B16"/>
    <w:rsid w:val="00DE66F2"/>
    <w:rsid w:val="00E326BE"/>
    <w:rsid w:val="00E62D24"/>
    <w:rsid w:val="00E81318"/>
    <w:rsid w:val="00F4640C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87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6E3"/>
    <w:pPr>
      <w:widowControl w:val="0"/>
      <w:autoSpaceDE w:val="0"/>
      <w:autoSpaceDN w:val="0"/>
      <w:adjustRightInd w:val="0"/>
      <w:spacing w:after="0" w:line="240" w:lineRule="auto"/>
      <w:ind w:left="540" w:hanging="540"/>
      <w:jc w:val="center"/>
      <w:outlineLvl w:val="0"/>
    </w:pPr>
    <w:rPr>
      <w:rFonts w:ascii="Arial Bold" w:hAnsi="Arial Bold" w:cs="Times New Roman"/>
      <w:b/>
      <w:color w:val="000099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color w:val="000099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color w:val="000099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6E3"/>
    <w:rPr>
      <w:rFonts w:ascii="Arial Bold" w:hAnsi="Arial Bold" w:cs="Times New Roman"/>
      <w:b/>
      <w:color w:val="000099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986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837"/>
  </w:style>
  <w:style w:type="paragraph" w:styleId="Footer">
    <w:name w:val="footer"/>
    <w:basedOn w:val="Normal"/>
    <w:link w:val="FooterChar"/>
    <w:uiPriority w:val="99"/>
    <w:unhideWhenUsed/>
    <w:rsid w:val="0014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37"/>
  </w:style>
  <w:style w:type="character" w:styleId="FollowedHyperlink">
    <w:name w:val="FollowedHyperlink"/>
    <w:basedOn w:val="DefaultParagraphFont"/>
    <w:uiPriority w:val="99"/>
    <w:semiHidden/>
    <w:unhideWhenUsed/>
    <w:rsid w:val="001478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2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6E3"/>
    <w:pPr>
      <w:widowControl w:val="0"/>
      <w:autoSpaceDE w:val="0"/>
      <w:autoSpaceDN w:val="0"/>
      <w:adjustRightInd w:val="0"/>
      <w:spacing w:after="0" w:line="240" w:lineRule="auto"/>
      <w:ind w:left="540" w:hanging="540"/>
      <w:jc w:val="center"/>
      <w:outlineLvl w:val="0"/>
    </w:pPr>
    <w:rPr>
      <w:rFonts w:ascii="Arial Bold" w:hAnsi="Arial Bold" w:cs="Times New Roman"/>
      <w:b/>
      <w:color w:val="000099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color w:val="000099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color w:val="000099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6E3"/>
    <w:rPr>
      <w:rFonts w:ascii="Arial Bold" w:hAnsi="Arial Bold" w:cs="Times New Roman"/>
      <w:b/>
      <w:color w:val="000099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986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837"/>
  </w:style>
  <w:style w:type="paragraph" w:styleId="Footer">
    <w:name w:val="footer"/>
    <w:basedOn w:val="Normal"/>
    <w:link w:val="FooterChar"/>
    <w:uiPriority w:val="99"/>
    <w:unhideWhenUsed/>
    <w:rsid w:val="0014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37"/>
  </w:style>
  <w:style w:type="character" w:styleId="FollowedHyperlink">
    <w:name w:val="FollowedHyperlink"/>
    <w:basedOn w:val="DefaultParagraphFont"/>
    <w:uiPriority w:val="99"/>
    <w:semiHidden/>
    <w:unhideWhenUsed/>
    <w:rsid w:val="001478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2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2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2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2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2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chart" Target="charts/chart5.xml"/><Relationship Id="rId7" Type="http://schemas.microsoft.com/office/2007/relationships/stylesWithEffects" Target="stylesWithEffects.xml"/><Relationship Id="rId12" Type="http://schemas.openxmlformats.org/officeDocument/2006/relationships/hyperlink" Target="http://www.qualityindicators.ahrq.gov" TargetMode="External"/><Relationship Id="rId17" Type="http://schemas.openxmlformats.org/officeDocument/2006/relationships/chart" Target="charts/chart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qualityindicators.ahrq.gov/Modules/PSI_TechSpec.aspx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qualityindicators.ahrq.gov/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mstro\Desktop\AHRQ%20Toolkit\Updated%20Toolkit_plus%20BPF%203.27.14\Adult%20Tool%20Edits%20070714\b3a_chartsforpresentations_dmb0623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mstro\Desktop\AHRQ%20Toolkit\Updated%20Toolkit_plus%20BPF%203.27.14\Adult%20Tool%20Edits%20070714\b3a_chartsforpresentations_dmb0623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KINGSTON:AHRQ%20Toolkit:AHRQ%20Toolkit%20Edits:b3a_chartsforpresentations_dmb062314_RAN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mstro\Desktop\AHRQ%20Toolkit\Updated%20Toolkit_plus%20BPF%203.27.14\Adult%20Tool%20Edits%20070714\b3a_chartsforpresentations_dmb0623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mstro\Desktop\AHRQ%20Toolkit\Updated%20Toolkit_plus%20BPF%203.27.14\Adult%20Tool%20Edits%20070714\b3a_chartsforpresentations_dmb0623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Examining Observed Rates of </a:t>
            </a:r>
            <a:r>
              <a:rPr lang="en-US" sz="1200">
                <a:solidFill>
                  <a:srgbClr val="FF0000"/>
                </a:solidFill>
              </a:rPr>
              <a:t>Pressure Ulcers (PSI 3)</a:t>
            </a:r>
          </a:p>
        </c:rich>
      </c:tx>
      <c:layout>
        <c:manualLayout>
          <c:xMode val="edge"/>
          <c:yMode val="edge"/>
          <c:x val="0.168285077218012"/>
          <c:y val="3.36788380041914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3400636832622"/>
          <c:y val="0.181347150259068"/>
          <c:w val="0.86394721036046096"/>
          <c:h val="0.702072538860104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'trend-observed'!$C$5</c:f>
              <c:strCache>
                <c:ptCount val="1"/>
                <c:pt idx="0">
                  <c:v>Observed Rate</c:v>
                </c:pt>
              </c:strCache>
            </c:strRef>
          </c:tx>
          <c:invertIfNegative val="0"/>
          <c:cat>
            <c:numRef>
              <c:f>'trend-observed'!$B$6:$B$16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'trend-observed'!$C$6:$C$16</c:f>
              <c:numCache>
                <c:formatCode>General</c:formatCode>
                <c:ptCount val="11"/>
                <c:pt idx="4">
                  <c:v>4.9136800000000001E-2</c:v>
                </c:pt>
                <c:pt idx="5">
                  <c:v>3.7426899999999999E-2</c:v>
                </c:pt>
                <c:pt idx="6">
                  <c:v>3.8777899999999997E-2</c:v>
                </c:pt>
                <c:pt idx="7">
                  <c:v>5.2165400000000001E-2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348928"/>
        <c:axId val="34115968"/>
      </c:barChart>
      <c:catAx>
        <c:axId val="110348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en-US"/>
          </a:p>
        </c:txPr>
        <c:crossAx val="34115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115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 1,000 Cases</a:t>
                </a:r>
              </a:p>
            </c:rich>
          </c:tx>
          <c:layout>
            <c:manualLayout>
              <c:xMode val="edge"/>
              <c:yMode val="edge"/>
              <c:x val="1.0859724039197299E-2"/>
              <c:y val="0.355250203296376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0348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Comparing Observed Rates of </a:t>
            </a:r>
            <a:r>
              <a:rPr lang="en-US" sz="1200">
                <a:solidFill>
                  <a:srgbClr val="FF0000"/>
                </a:solidFill>
              </a:rPr>
              <a:t>Pressure Ulcers (PSI 3) </a:t>
            </a:r>
            <a:r>
              <a:rPr lang="en-US" sz="1200"/>
              <a:t>to Expected Rates</a:t>
            </a:r>
          </a:p>
        </c:rich>
      </c:tx>
      <c:layout>
        <c:manualLayout>
          <c:xMode val="edge"/>
          <c:yMode val="edge"/>
          <c:x val="0.12621376211468699"/>
          <c:y val="4.31778719967695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2977516159994"/>
          <c:y val="0.23575129533678801"/>
          <c:w val="0.699030315385334"/>
          <c:h val="0.64766839378238406"/>
        </c:manualLayout>
      </c:layout>
      <c:lineChart>
        <c:grouping val="standard"/>
        <c:varyColors val="0"/>
        <c:ser>
          <c:idx val="1"/>
          <c:order val="0"/>
          <c:tx>
            <c:strRef>
              <c:f>'trend-observed-expected'!$C$6</c:f>
              <c:strCache>
                <c:ptCount val="1"/>
                <c:pt idx="0">
                  <c:v>Observed</c:v>
                </c:pt>
              </c:strCache>
            </c:strRef>
          </c:tx>
          <c:cat>
            <c:numRef>
              <c:f>'trend-observed-expected'!$B$7:$B$17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'trend-observed-expected'!$C$7:$C$17</c:f>
              <c:numCache>
                <c:formatCode>General</c:formatCode>
                <c:ptCount val="11"/>
                <c:pt idx="4">
                  <c:v>4.9136800000000001E-2</c:v>
                </c:pt>
                <c:pt idx="5">
                  <c:v>3.7426899999999999E-2</c:v>
                </c:pt>
                <c:pt idx="6">
                  <c:v>3.8777899999999997E-2</c:v>
                </c:pt>
                <c:pt idx="7">
                  <c:v>5.2165400000000001E-2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'trend-observed-expected'!$D$6</c:f>
              <c:strCache>
                <c:ptCount val="1"/>
                <c:pt idx="0">
                  <c:v>Expected</c:v>
                </c:pt>
              </c:strCache>
            </c:strRef>
          </c:tx>
          <c:cat>
            <c:numRef>
              <c:f>'trend-observed-expected'!$B$7:$B$17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'trend-observed-expected'!$D$7:$D$17</c:f>
              <c:numCache>
                <c:formatCode>General</c:formatCode>
                <c:ptCount val="11"/>
                <c:pt idx="4">
                  <c:v>2.28119E-2</c:v>
                </c:pt>
                <c:pt idx="5">
                  <c:v>2.283E-2</c:v>
                </c:pt>
                <c:pt idx="6">
                  <c:v>2.2760900000000001E-2</c:v>
                </c:pt>
                <c:pt idx="7">
                  <c:v>2.2509999999999999E-2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464192"/>
        <c:axId val="63465728"/>
      </c:lineChart>
      <c:catAx>
        <c:axId val="63464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en-US"/>
          </a:p>
        </c:txPr>
        <c:crossAx val="63465728"/>
        <c:crosses val="autoZero"/>
        <c:auto val="1"/>
        <c:lblAlgn val="ctr"/>
        <c:lblOffset val="100"/>
        <c:tickMarkSkip val="1"/>
        <c:noMultiLvlLbl val="0"/>
      </c:catAx>
      <c:valAx>
        <c:axId val="63465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 1,000 Cases</a:t>
                </a:r>
              </a:p>
            </c:rich>
          </c:tx>
          <c:layout>
            <c:manualLayout>
              <c:xMode val="edge"/>
              <c:yMode val="edge"/>
              <c:x val="1.4960629921259801E-2"/>
              <c:y val="0.39426610135271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63464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980718429613699"/>
          <c:y val="0.505181236960765"/>
          <c:w val="0.15145128692974499"/>
          <c:h val="0.1359326051985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Risk-Adjusted and Smoothed Rates of </a:t>
            </a:r>
            <a:r>
              <a:rPr lang="en-US" sz="1200">
                <a:solidFill>
                  <a:srgbClr val="FF0000"/>
                </a:solidFill>
              </a:rPr>
              <a:t>Pressure Ulcers (PSI 3)</a:t>
            </a:r>
          </a:p>
        </c:rich>
      </c:tx>
      <c:layout>
        <c:manualLayout>
          <c:xMode val="edge"/>
          <c:yMode val="edge"/>
          <c:x val="0.118123111969494"/>
          <c:y val="3.36788456998430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768550157645399"/>
          <c:y val="0.181347150259068"/>
          <c:w val="0.518237838194754"/>
          <c:h val="0.66321243523316098"/>
        </c:manualLayout>
      </c:layout>
      <c:lineChart>
        <c:grouping val="standard"/>
        <c:varyColors val="0"/>
        <c:ser>
          <c:idx val="0"/>
          <c:order val="0"/>
          <c:tx>
            <c:strRef>
              <c:f>'trend-risk-adjusted-smoothed'!$C$9</c:f>
              <c:strCache>
                <c:ptCount val="1"/>
                <c:pt idx="0">
                  <c:v>Risk-Adjusted Rate</c:v>
                </c:pt>
              </c:strCache>
            </c:strRef>
          </c:tx>
          <c:cat>
            <c:numRef>
              <c:f>'trend-risk-adjusted-smoothed'!$B$13:$B$23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'trend-risk-adjusted-smoothed'!$C$13:$C$23</c:f>
              <c:numCache>
                <c:formatCode>General</c:formatCode>
                <c:ptCount val="11"/>
                <c:pt idx="4">
                  <c:v>3.9735699999999999E-2</c:v>
                </c:pt>
                <c:pt idx="5">
                  <c:v>3.02422E-2</c:v>
                </c:pt>
                <c:pt idx="6">
                  <c:v>3.1428999999999999E-2</c:v>
                </c:pt>
                <c:pt idx="7">
                  <c:v>4.2751999999999998E-2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'trend-risk-adjusted-smoothed'!$D$9:$D$12</c:f>
              <c:strCache>
                <c:ptCount val="1"/>
                <c:pt idx="0">
                  <c:v>Risk-Adjusted (Lower Confidence Interval Bound)</c:v>
                </c:pt>
              </c:strCache>
            </c:strRef>
          </c:tx>
          <c:spPr>
            <a:ln>
              <a:prstDash val="sysDot"/>
            </a:ln>
          </c:spPr>
          <c:cat>
            <c:numRef>
              <c:f>'trend-risk-adjusted-smoothed'!$B$13:$B$23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'trend-risk-adjusted-smoothed'!$D$13:$D$23</c:f>
              <c:numCache>
                <c:formatCode>General</c:formatCode>
                <c:ptCount val="11"/>
                <c:pt idx="4">
                  <c:v>3.1127499999999999E-2</c:v>
                </c:pt>
                <c:pt idx="5">
                  <c:v>2.2170100000000002E-2</c:v>
                </c:pt>
                <c:pt idx="6">
                  <c:v>2.3324000000000001E-2</c:v>
                </c:pt>
                <c:pt idx="7">
                  <c:v>3.5290000000000002E-2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'trend-risk-adjusted-smoothed'!$E$9:$E$12</c:f>
              <c:strCache>
                <c:ptCount val="1"/>
                <c:pt idx="0">
                  <c:v>Risk-Adjusted (Upper Confidence Interval Bound)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triangle"/>
            <c:size val="7"/>
            <c:spPr>
              <a:solidFill>
                <a:srgbClr val="C00000"/>
              </a:solidFill>
            </c:spPr>
          </c:marker>
          <c:cat>
            <c:numRef>
              <c:f>'trend-risk-adjusted-smoothed'!$B$13:$B$23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'trend-risk-adjusted-smoothed'!$E$13:$E$23</c:f>
              <c:numCache>
                <c:formatCode>General</c:formatCode>
                <c:ptCount val="11"/>
                <c:pt idx="4">
                  <c:v>4.8343900000000002E-2</c:v>
                </c:pt>
                <c:pt idx="5">
                  <c:v>3.83142E-2</c:v>
                </c:pt>
                <c:pt idx="6">
                  <c:v>3.9534E-2</c:v>
                </c:pt>
                <c:pt idx="7">
                  <c:v>5.0213000000000001E-2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'trend-risk-adjusted-smoothed'!$F$9</c:f>
              <c:strCache>
                <c:ptCount val="1"/>
                <c:pt idx="0">
                  <c:v>Smoothed</c:v>
                </c:pt>
              </c:strCache>
            </c:strRef>
          </c:tx>
          <c:cat>
            <c:numRef>
              <c:f>'trend-risk-adjusted-smoothed'!$B$13:$B$23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'trend-risk-adjusted-smoothed'!$F$13:$F$23</c:f>
              <c:numCache>
                <c:formatCode>General</c:formatCode>
                <c:ptCount val="11"/>
                <c:pt idx="4">
                  <c:v>3.6899300000000003E-2</c:v>
                </c:pt>
                <c:pt idx="5">
                  <c:v>2.8837700000000001E-2</c:v>
                </c:pt>
                <c:pt idx="6">
                  <c:v>2.9872099999999999E-2</c:v>
                </c:pt>
                <c:pt idx="7">
                  <c:v>4.0235E-2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066752"/>
        <c:axId val="113068288"/>
      </c:lineChart>
      <c:catAx>
        <c:axId val="113066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en-US"/>
          </a:p>
        </c:txPr>
        <c:crossAx val="113068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068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 1,000 Cases</a:t>
                </a:r>
              </a:p>
            </c:rich>
          </c:tx>
          <c:layout>
            <c:manualLayout>
              <c:xMode val="edge"/>
              <c:yMode val="edge"/>
              <c:x val="1.48221330824213E-2"/>
              <c:y val="0.361450652001833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066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72175176216196"/>
          <c:y val="0.32124345567915102"/>
          <c:w val="0.29582809224318701"/>
          <c:h val="0.425620130816981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Comparing Expected Rates of </a:t>
            </a:r>
            <a:r>
              <a:rPr lang="en-US" sz="1200">
                <a:solidFill>
                  <a:srgbClr val="FF0000"/>
                </a:solidFill>
              </a:rPr>
              <a:t>Pressure Ulcers (PSI 3) </a:t>
            </a:r>
            <a:r>
              <a:rPr lang="en-US" sz="1200"/>
              <a:t>to Benchmark Rates To Compare Case Mix</a:t>
            </a:r>
          </a:p>
        </c:rich>
      </c:tx>
      <c:layout>
        <c:manualLayout>
          <c:xMode val="edge"/>
          <c:yMode val="edge"/>
          <c:x val="0.127831885092033"/>
          <c:y val="3.367875647668400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9406858123317"/>
          <c:y val="0.23575129533678801"/>
          <c:w val="0.64671100578447205"/>
          <c:h val="0.64766839378238406"/>
        </c:manualLayout>
      </c:layout>
      <c:lineChart>
        <c:grouping val="standard"/>
        <c:varyColors val="0"/>
        <c:ser>
          <c:idx val="0"/>
          <c:order val="0"/>
          <c:tx>
            <c:strRef>
              <c:f>'trend-expected-benchmark'!$C$10</c:f>
              <c:strCache>
                <c:ptCount val="1"/>
                <c:pt idx="0">
                  <c:v>Expected</c:v>
                </c:pt>
              </c:strCache>
            </c:strRef>
          </c:tx>
          <c:cat>
            <c:numRef>
              <c:f>'trend-expected-benchmark'!$B$11:$B$21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'trend-expected-benchmark'!$C$11:$C$21</c:f>
              <c:numCache>
                <c:formatCode>General</c:formatCode>
                <c:ptCount val="11"/>
                <c:pt idx="4">
                  <c:v>2.28119E-2</c:v>
                </c:pt>
                <c:pt idx="5">
                  <c:v>2.283E-2</c:v>
                </c:pt>
                <c:pt idx="6">
                  <c:v>2.2760900000000001E-2</c:v>
                </c:pt>
                <c:pt idx="7">
                  <c:v>2.2509999999999999E-2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'trend-expected-benchmark'!$D$10</c:f>
              <c:strCache>
                <c:ptCount val="1"/>
                <c:pt idx="0">
                  <c:v>Benchmark</c:v>
                </c:pt>
              </c:strCache>
            </c:strRef>
          </c:tx>
          <c:cat>
            <c:numRef>
              <c:f>'trend-expected-benchmark'!$B$11:$B$21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'trend-expected-benchmark'!$D$11:$D$21</c:f>
              <c:numCache>
                <c:formatCode>General</c:formatCode>
                <c:ptCount val="11"/>
                <c:pt idx="6">
                  <c:v>2.6530000000000001E-2</c:v>
                </c:pt>
                <c:pt idx="7">
                  <c:v>2.7709999999999999E-2</c:v>
                </c:pt>
                <c:pt idx="8">
                  <c:v>2.9180000000000001E-2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111040"/>
        <c:axId val="113112576"/>
      </c:lineChart>
      <c:catAx>
        <c:axId val="11311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en-US"/>
          </a:p>
        </c:txPr>
        <c:crossAx val="1131125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31125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 1,000 Cases</a:t>
                </a:r>
              </a:p>
            </c:rich>
          </c:tx>
          <c:layout>
            <c:manualLayout>
              <c:xMode val="edge"/>
              <c:yMode val="edge"/>
              <c:x val="2.9394286879188599E-2"/>
              <c:y val="0.414991364421415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13111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91721665859895"/>
          <c:y val="0.50518134715025798"/>
          <c:w val="0.16389436757298501"/>
          <c:h val="0.124925135653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</a:t>
            </a:r>
            <a:r>
              <a:rPr lang="en-US" sz="1200" b="1" i="0" baseline="0"/>
              <a:t>omparing Risk-Adjusted Rates of </a:t>
            </a:r>
            <a:r>
              <a:rPr lang="en-US" sz="1200" b="1" i="0" baseline="0">
                <a:solidFill>
                  <a:srgbClr val="FF0000"/>
                </a:solidFill>
              </a:rPr>
              <a:t>Pressure Ulcers (PSI 3) </a:t>
            </a:r>
            <a:r>
              <a:rPr lang="en-US" sz="1200" b="1" i="0" baseline="0"/>
              <a:t>to Benchmark Rates</a:t>
            </a:r>
            <a:endParaRPr lang="en-US" sz="1200"/>
          </a:p>
        </c:rich>
      </c:tx>
      <c:layout>
        <c:manualLayout>
          <c:xMode val="edge"/>
          <c:yMode val="edge"/>
          <c:x val="0.1339327289971110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655078409316499"/>
          <c:y val="0.13936351706036701"/>
          <c:w val="0.60683504860248205"/>
          <c:h val="0.71026210265383505"/>
        </c:manualLayout>
      </c:layout>
      <c:lineChart>
        <c:grouping val="standard"/>
        <c:varyColors val="0"/>
        <c:ser>
          <c:idx val="0"/>
          <c:order val="0"/>
          <c:tx>
            <c:strRef>
              <c:f>'trend-risk-adjusted-benchmark'!$C$9:$C$12</c:f>
              <c:strCache>
                <c:ptCount val="1"/>
                <c:pt idx="0">
                  <c:v>Risk-Adjusted Rate</c:v>
                </c:pt>
              </c:strCache>
            </c:strRef>
          </c:tx>
          <c:cat>
            <c:numRef>
              <c:f>'trend-risk-adjusted-benchmark'!$B$13:$B$23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'trend-risk-adjusted-benchmark'!$C$13:$C$23</c:f>
              <c:numCache>
                <c:formatCode>General</c:formatCode>
                <c:ptCount val="11"/>
                <c:pt idx="4">
                  <c:v>3.9735699999999999E-2</c:v>
                </c:pt>
                <c:pt idx="5">
                  <c:v>3.02422E-2</c:v>
                </c:pt>
                <c:pt idx="6">
                  <c:v>3.1428999999999999E-2</c:v>
                </c:pt>
                <c:pt idx="7">
                  <c:v>4.2751999999999998E-2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'trend-risk-adjusted-benchmark'!$D$9:$D$12</c:f>
              <c:strCache>
                <c:ptCount val="1"/>
                <c:pt idx="0">
                  <c:v>Risk-Adjusted (Lower Confidence Interval Bound)</c:v>
                </c:pt>
              </c:strCache>
            </c:strRef>
          </c:tx>
          <c:spPr>
            <a:ln>
              <a:prstDash val="sysDot"/>
            </a:ln>
          </c:spPr>
          <c:cat>
            <c:numRef>
              <c:f>'trend-risk-adjusted-benchmark'!$B$13:$B$23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'trend-risk-adjusted-benchmark'!$D$13:$D$23</c:f>
              <c:numCache>
                <c:formatCode>General</c:formatCode>
                <c:ptCount val="11"/>
                <c:pt idx="4">
                  <c:v>3.1127499999999999E-2</c:v>
                </c:pt>
                <c:pt idx="5">
                  <c:v>2.2170100000000002E-2</c:v>
                </c:pt>
                <c:pt idx="6">
                  <c:v>2.3324000000000001E-2</c:v>
                </c:pt>
                <c:pt idx="7">
                  <c:v>3.5290000000000002E-2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'trend-risk-adjusted-benchmark'!$E$9:$E$12</c:f>
              <c:strCache>
                <c:ptCount val="1"/>
                <c:pt idx="0">
                  <c:v>Risk-Adjusted (Upper Confidence Interval Bound)</c:v>
                </c:pt>
              </c:strCache>
            </c:strRef>
          </c:tx>
          <c:spPr>
            <a:ln>
              <a:solidFill>
                <a:srgbClr val="C00000"/>
              </a:solidFill>
              <a:prstDash val="sysDot"/>
            </a:ln>
          </c:spPr>
          <c:marker>
            <c:symbol val="triangle"/>
            <c:size val="7"/>
            <c:spPr>
              <a:solidFill>
                <a:srgbClr val="C00000"/>
              </a:solidFill>
            </c:spPr>
          </c:marker>
          <c:cat>
            <c:numRef>
              <c:f>'trend-risk-adjusted-benchmark'!$B$13:$B$23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'trend-risk-adjusted-benchmark'!$E$13:$E$23</c:f>
              <c:numCache>
                <c:formatCode>General</c:formatCode>
                <c:ptCount val="11"/>
                <c:pt idx="4">
                  <c:v>4.8343900000000002E-2</c:v>
                </c:pt>
                <c:pt idx="5">
                  <c:v>3.83142E-2</c:v>
                </c:pt>
                <c:pt idx="6">
                  <c:v>3.9534E-2</c:v>
                </c:pt>
                <c:pt idx="7">
                  <c:v>5.0213000000000001E-2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'trend-risk-adjusted-benchmark'!$F$9:$F$12</c:f>
              <c:strCache>
                <c:ptCount val="1"/>
                <c:pt idx="0">
                  <c:v>Benchmark</c:v>
                </c:pt>
              </c:strCache>
            </c:strRef>
          </c:tx>
          <c:cat>
            <c:numRef>
              <c:f>'trend-risk-adjusted-benchmark'!$B$13:$B$23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'trend-risk-adjusted-benchmark'!$F$13:$F$23</c:f>
              <c:numCache>
                <c:formatCode>General</c:formatCode>
                <c:ptCount val="11"/>
                <c:pt idx="6">
                  <c:v>2.6530000000000001E-2</c:v>
                </c:pt>
                <c:pt idx="7">
                  <c:v>2.7709999999999999E-2</c:v>
                </c:pt>
                <c:pt idx="8">
                  <c:v>2.9180000000000001E-2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70976"/>
        <c:axId val="117872512"/>
      </c:lineChart>
      <c:catAx>
        <c:axId val="11787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117872512"/>
        <c:crosses val="autoZero"/>
        <c:auto val="1"/>
        <c:lblAlgn val="ctr"/>
        <c:lblOffset val="100"/>
        <c:noMultiLvlLbl val="0"/>
      </c:catAx>
      <c:valAx>
        <c:axId val="117872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 1,000 Cases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787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77019763650897"/>
          <c:y val="0.22039047991063801"/>
          <c:w val="0.245563137799927"/>
          <c:h val="0.605986719023046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40BEC97A19740BC790CE39BB2903C" ma:contentTypeVersion="0" ma:contentTypeDescription="Create a new document." ma:contentTypeScope="" ma:versionID="1208570c139c530faacc531a702337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878F-C042-462A-8161-66558657007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77E397A-BE89-4B44-8B1F-213735C43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C3FA0F-213B-4719-A13A-F37E53E7E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9812C-0605-46EB-8CF5-153856C2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 Corporation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Doreen.Bonnett</dc:creator>
  <cp:lastModifiedBy>RAND Authorized User</cp:lastModifiedBy>
  <cp:revision>2</cp:revision>
  <dcterms:created xsi:type="dcterms:W3CDTF">2014-07-25T13:26:00Z</dcterms:created>
  <dcterms:modified xsi:type="dcterms:W3CDTF">2014-07-25T13:26:00Z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0x01010002640BEC97A19740BC790CE39BB2903C</vt:lpwstr>
  </property>
</Properties>
</file>