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DD5890" w14:textId="4332130E" w:rsidR="002F26EE" w:rsidRPr="00C16F5D" w:rsidRDefault="005153A1" w:rsidP="006841DE">
      <w:pPr>
        <w:spacing w:before="520"/>
        <w:jc w:val="center"/>
        <w:rPr>
          <w:sz w:val="14"/>
          <w:szCs w:val="14"/>
        </w:rPr>
        <w:sectPr w:rsidR="002F26EE" w:rsidRPr="00C16F5D" w:rsidSect="002E35EF">
          <w:footerReference w:type="default" r:id="rId11"/>
          <w:headerReference w:type="first" r:id="rId12"/>
          <w:endnotePr>
            <w:numFmt w:val="decimal"/>
          </w:endnotePr>
          <w:type w:val="continuous"/>
          <w:pgSz w:w="15840" w:h="12240" w:orient="landscape"/>
          <w:pgMar w:top="360" w:right="360" w:bottom="360" w:left="360" w:header="432" w:footer="432" w:gutter="0"/>
          <w:cols w:space="720"/>
          <w:titlePg/>
          <w:docGrid w:linePitch="360"/>
        </w:sectPr>
      </w:pPr>
      <w:r>
        <w:rPr>
          <w:noProof/>
          <w:sz w:val="14"/>
          <w:szCs w:val="14"/>
        </w:rPr>
        <w:drawing>
          <wp:inline distT="0" distB="0" distL="0" distR="0" wp14:anchorId="08EEECA2" wp14:editId="1DCCDDED">
            <wp:extent cx="9098280" cy="6473581"/>
            <wp:effectExtent l="0" t="0" r="7620" b="3810"/>
            <wp:docPr id="2043865293" name="Picture 1" descr="Chart shows 2 decision trees: &#10;1. BCx being Considered for New Clinical Event. &#10;Ask: Is severe sepsis/septic shock or infective endocarditis/endovascular infection suspected? &#10;If Yes, BCx Recommended: Draw 2 peripheral sets.&#10;If No, ask: What is the pretest probability of bacteremia?&#10;High (over 50%) -&gt; BCx Recommended: Draw 2 peripheral sets.&#10;Intermediate (less than 50% - more than 10%) -&gt; Ask: Is the patient at risk of endovascular infection? Is the primary site of infection not readily available for culture prior to antibiotic initiation? Are BCx results otherwise likely to impact management? -&gt;&#10;If Yes, BCx Recommended: Draw 2 peripheral sets.&#10;If No, BCx Not Recommended.&#10;Low (under 10%) -&gt; BCx Not Recommended.&#10;&#10;2. BCx being Considered to Document Clearance of Bacteria&#10;Ask: Is followup BCx to document clearance of bacteremia for S. aureus, S. lugdunesis bacteremia; bacteremia in a patient at risk with suspected endovascular infection or at risk for endovascular infection; catheter-related bloodstream infection before catheter replacement? -&gt;&#10;If Yes, BCx Recommended: Draw 2 peripheral sets within 48 hours of intial BCx.&#10;If No, ask: Is followup BCx needed for single positive BCx with skin flora in symptomatic patients, including prothesis or intravascular catheter, or concern for persistent bacteremia in the absence of source control? -&gt;&#10;If Yes, BCx Recommended: Draw 2 peripheral sets.&#10;If No, BCx Not Recommended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865293" name="Picture 1" descr="Chart shows 2 decision trees: &#10;1. BCx being Considered for New Clinical Event. &#10;Ask: Is severe sepsis/septic shock or infective endocarditis/endovascular infection suspected? &#10;If Yes, BCx Recommended: Draw 2 peripheral sets.&#10;If No, ask: What is the pretest probability of bacteremia?&#10;High (over 50%) -&gt; BCx Recommended: Draw 2 peripheral sets.&#10;Intermediate (less than 50% - more than 10%) -&gt; Ask: Is the patient at risk of endovascular infection? Is the primary site of infection not readily available for culture prior to antibiotic initiation? Are BCx results otherwise likely to impact management? -&gt;&#10;If Yes, BCx Recommended: Draw 2 peripheral sets.&#10;If No, BCx Not Recommended.&#10;Low (under 10%) -&gt; BCx Not Recommended.&#10;&#10;2. BCx being Considered to Document Clearance of Bacteria&#10;Ask: Is followup BCx to document clearance of bacteremia for S. aureus, S. lugdunesis bacteremia; bacteremia in a patient at risk with suspected endovascular infection or at risk for endovascular infection; catheter-related bloodstream infection before catheter replacement? -&gt;&#10;If Yes, BCx Recommended: Draw 2 peripheral sets within 48 hours of intial BCx.&#10;If No, ask: Is followup BCx needed for single positive BCx with skin flora in symptomatic patients, including prothesis or intravascular catheter, or concern for persistent bacteremia in the absence of source control? -&gt;&#10;If Yes, BCx Recommended: Draw 2 peripheral sets.&#10;If No, BCx Not Recommended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" t="345" r="1455" b="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8280" cy="6473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34F6">
        <w:rPr>
          <w:sz w:val="14"/>
          <w:szCs w:val="14"/>
        </w:rPr>
        <w:t xml:space="preserve"> </w:t>
      </w:r>
      <w:r w:rsidR="00BB6DAD">
        <w:rPr>
          <w:sz w:val="14"/>
          <w:szCs w:val="14"/>
        </w:rPr>
        <w:t xml:space="preserve">  </w:t>
      </w:r>
      <w:r w:rsidR="00E334F6">
        <w:rPr>
          <w:sz w:val="14"/>
          <w:szCs w:val="14"/>
        </w:rPr>
        <w:t xml:space="preserve"> </w:t>
      </w:r>
      <w:r w:rsidR="00597723" w:rsidRPr="00597723">
        <w:rPr>
          <w:noProof/>
          <w:sz w:val="14"/>
          <w:szCs w:val="14"/>
        </w:rPr>
        <mc:AlternateContent>
          <mc:Choice Requires="wps">
            <w:drawing>
              <wp:inline distT="0" distB="0" distL="0" distR="0" wp14:anchorId="05BED85C" wp14:editId="709F2772">
                <wp:extent cx="6309360" cy="374904"/>
                <wp:effectExtent l="0" t="5398" r="0" b="0"/>
                <wp:docPr id="564" name="Text 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F477A99-7709-E006-026F-381DC465CE41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309360" cy="37490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C23DE5" w14:textId="77777777" w:rsidR="00597723" w:rsidRDefault="00597723" w:rsidP="00597723">
                            <w:pPr>
                              <w:rPr>
                                <w:rFonts w:ascii="Calibri" w:eastAsia="Calibri" w:hAnsi="Calibri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Originally published in “Does This Patient Need Blood Cultures? A Scoping Review of Indications for Blood Cultures in Adult Nonneutropenic Patients” by Fabre et al in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Clinical Infectious Diseases,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September 2020. Used with permission. Image is adapted.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5BED8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496.8pt;height:29.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IHPAIAAHIEAAAOAAAAZHJzL2Uyb0RvYy54bWysVE2P2jAQvVfqf7B8LwmQZZeIsKKsqCrR&#10;7UpstWfjOCSS7XFtQ0J/fccOX93eqnKw7JnJm5n3Zpg9dkqSg7CuAV3Q4SClRGgOZaN3Bf3xuvr0&#10;QInzTJdMghYFPQpHH+cfP8xak4sR1CBLYQmCaJe3pqC19yZPEsdroZgbgBEanRVYxTw+7S4pLWsR&#10;XclklKaTpAVbGgtcOIfWp95J5xG/qgT336vKCU9kQbE2H08bz204k/mM5TvLTN3wUxnsH6pQrNGY&#10;9AL1xDwje9v8BaUabsFB5QccVAJV1XARe8Buhum7bjY1MyL2guQ4c6HJ/T9Y/nzYmBdLfPcZOhQw&#10;ENIalzs0hn66yipiAXkbTpBv/MU2sXCC4cjo8cKi6DzhaJyM0+l4gi6OvvF9Nk2zgJr0YAHUWOe/&#10;CFAkXApqUaWIyg5r5/vQc0gIdyCbctVIGR9hMsRSWnJgqCnjXGg/ip/LvfoGZW+PtfbqohlnoDc/&#10;xA76FHHGAlKs7Y8kUpM2NHLXd6shZO+/khrDrwyFm++2HTrDdQvlEdmMhCEDzvBVgz2umfMvzOJk&#10;oRG3BZuuwf6ipMXJK6j7uWdWUCK/apR2OswyDPPxkd3dj/Bhbz3bW4/eqyUgEcOYLV5DvJfna2VB&#10;veGSLEJWdDHNMXdB/fm69P0+4JJxsVjEIBxOw/xabwwP0GfRXrs3Zs1JNo+CP8N5Rln+Tr0+Nkpm&#10;FnuPFEZpryydeMTBjgKcljBszu07Rl3/Kua/AQAA//8DAFBLAwQUAAYACAAAACEAwrHPbdkAAAAE&#10;AQAADwAAAGRycy9kb3ducmV2LnhtbEyOQUvDQBCF74L/YRnBi9jdWgxNzKaotBdvVsH2NknGJJid&#10;jdltG/+9oxe9DDze45svX02uV0caQ+fZwnxmQBFXvu64sfD6srleggoRucbeM1n4ogCr4vwsx6z2&#10;J36m4zY2SiAcMrTQxjhkWoeqJYdh5gdi6d796DBKHBtdj3gSuOv1jTGJdtixfGhxoMeWqo/twVkw&#10;xi1w+fCU7Jyr9uXVZj3/fFtbe3kx3d+BijTFvzH86Is6FOJU+gPXQfXCkN3vle42lVRaSNNFArrI&#10;9X/54hsAAP//AwBQSwECLQAUAAYACAAAACEAtoM4kv4AAADhAQAAEwAAAAAAAAAAAAAAAAAAAAAA&#10;W0NvbnRlbnRfVHlwZXNdLnhtbFBLAQItABQABgAIAAAAIQA4/SH/1gAAAJQBAAALAAAAAAAAAAAA&#10;AAAAAC8BAABfcmVscy8ucmVsc1BLAQItABQABgAIAAAAIQDcoxIHPAIAAHIEAAAOAAAAAAAAAAAA&#10;AAAAAC4CAABkcnMvZTJvRG9jLnhtbFBLAQItABQABgAIAAAAIQDCsc9t2QAAAAQBAAAPAAAAAAAA&#10;AAAAAAAAAJYEAABkcnMvZG93bnJldi54bWxQSwUGAAAAAAQABADzAAAAnAUAAAAA&#10;" fillcolor="#fef7cb [661]" stroked="f" strokeweight=".5pt">
                <v:textbox style="mso-fit-shape-to-text:t">
                  <w:txbxContent>
                    <w:p w14:paraId="41C23DE5" w14:textId="77777777" w:rsidR="00597723" w:rsidRDefault="00597723" w:rsidP="00597723">
                      <w:pPr>
                        <w:rPr>
                          <w:rFonts w:ascii="Calibri" w:eastAsia="Calibri" w:hAnsi="Calibri" w:cs="Calibr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Originally published in “Does This Patient Need Blood Cultures? A Scoping Review of Indications for Blood Cultures in Adult Nonneutropenic Patients” by Fabre et al in </w:t>
                      </w:r>
                      <w:r>
                        <w:rPr>
                          <w:rFonts w:ascii="Calibri" w:eastAsia="Calibri" w:hAnsi="Calibri" w:cs="Calibri"/>
                          <w:i/>
                          <w:i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Clinical Infectious Diseases, </w:t>
                      </w:r>
                      <w:r>
                        <w:rPr>
                          <w:rFonts w:ascii="Calibri" w:eastAsia="Calibri" w:hAnsi="Calibri" w:cs="Calibri"/>
                          <w:color w:val="000000" w:themeColor="text1"/>
                          <w:kern w:val="24"/>
                          <w:sz w:val="18"/>
                          <w:szCs w:val="18"/>
                        </w:rPr>
                        <w:t>September 2020. Used with permission. Image is adapted.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04CEF5" w14:textId="41762445" w:rsidR="00A16253" w:rsidRPr="00015F6A" w:rsidRDefault="00A16253" w:rsidP="00AD62CD">
      <w:pPr>
        <w:pStyle w:val="Subtitle"/>
      </w:pPr>
      <w:r w:rsidRPr="00015F6A">
        <w:rPr>
          <w:rStyle w:val="normaltextrun"/>
        </w:rPr>
        <w:t xml:space="preserve">Algorithm </w:t>
      </w:r>
      <w:r w:rsidR="009B25F5" w:rsidRPr="00015F6A">
        <w:rPr>
          <w:rStyle w:val="normaltextrun"/>
        </w:rPr>
        <w:t>o</w:t>
      </w:r>
      <w:r w:rsidR="001B4835" w:rsidRPr="00015F6A">
        <w:rPr>
          <w:rStyle w:val="normaltextrun"/>
        </w:rPr>
        <w:t xml:space="preserve">f Indications </w:t>
      </w:r>
      <w:r w:rsidR="009B25F5" w:rsidRPr="00015F6A">
        <w:rPr>
          <w:rStyle w:val="normaltextrun"/>
        </w:rPr>
        <w:t>f</w:t>
      </w:r>
      <w:r w:rsidR="001B4835" w:rsidRPr="00015F6A">
        <w:rPr>
          <w:rStyle w:val="normaltextrun"/>
        </w:rPr>
        <w:t xml:space="preserve">or Bacterial Blood Cultures </w:t>
      </w:r>
      <w:r w:rsidR="00AF52EB">
        <w:rPr>
          <w:rStyle w:val="normaltextrun"/>
        </w:rPr>
        <w:br/>
      </w:r>
      <w:r w:rsidR="009B25F5" w:rsidRPr="00015F6A">
        <w:rPr>
          <w:rStyle w:val="normaltextrun"/>
        </w:rPr>
        <w:t>f</w:t>
      </w:r>
      <w:r w:rsidR="001B4835" w:rsidRPr="00015F6A">
        <w:rPr>
          <w:rStyle w:val="normaltextrun"/>
        </w:rPr>
        <w:t xml:space="preserve">or Non-Neutropenic </w:t>
      </w:r>
      <w:r w:rsidR="009B25F5" w:rsidRPr="00015F6A">
        <w:rPr>
          <w:rStyle w:val="normaltextrun"/>
        </w:rPr>
        <w:t xml:space="preserve">Adult </w:t>
      </w:r>
      <w:r w:rsidR="001B4835" w:rsidRPr="00015F6A">
        <w:rPr>
          <w:rStyle w:val="normaltextrun"/>
        </w:rPr>
        <w:t>Patients</w:t>
      </w:r>
    </w:p>
    <w:p w14:paraId="52EC9AEC" w14:textId="77777777" w:rsidR="00F93E47" w:rsidRDefault="00D31B9A" w:rsidP="00AD62CD">
      <w:pPr>
        <w:pStyle w:val="ListParagraph"/>
        <w:numPr>
          <w:ilvl w:val="0"/>
          <w:numId w:val="32"/>
        </w:numPr>
        <w:pBdr>
          <w:top w:val="single" w:sz="6" w:space="1" w:color="007DA3" w:themeColor="accent1"/>
          <w:left w:val="single" w:sz="6" w:space="4" w:color="007DA3" w:themeColor="accent1"/>
          <w:bottom w:val="single" w:sz="6" w:space="1" w:color="007DA3" w:themeColor="accent1"/>
          <w:right w:val="single" w:sz="6" w:space="4" w:color="007DA3" w:themeColor="accent1"/>
        </w:pBdr>
        <w:shd w:val="clear" w:color="auto" w:fill="FFFFFF" w:themeFill="background1"/>
        <w:ind w:right="360"/>
      </w:pPr>
      <w:r>
        <w:t xml:space="preserve">This </w:t>
      </w:r>
      <w:r w:rsidR="008D1A51" w:rsidRPr="008D1A51">
        <w:t xml:space="preserve">algorithm is not a substitute for clinical judgment. </w:t>
      </w:r>
    </w:p>
    <w:p w14:paraId="39EFDFA4" w14:textId="6C5A38FD" w:rsidR="00F93E47" w:rsidRDefault="008D1A51" w:rsidP="00AD62CD">
      <w:pPr>
        <w:pStyle w:val="ListParagraph"/>
        <w:numPr>
          <w:ilvl w:val="0"/>
          <w:numId w:val="32"/>
        </w:numPr>
        <w:pBdr>
          <w:top w:val="single" w:sz="6" w:space="1" w:color="007DA3" w:themeColor="accent1"/>
          <w:left w:val="single" w:sz="6" w:space="4" w:color="007DA3" w:themeColor="accent1"/>
          <w:bottom w:val="single" w:sz="6" w:space="1" w:color="007DA3" w:themeColor="accent1"/>
          <w:right w:val="single" w:sz="6" w:space="4" w:color="007DA3" w:themeColor="accent1"/>
        </w:pBdr>
        <w:shd w:val="clear" w:color="auto" w:fill="FFFFFF" w:themeFill="background1"/>
        <w:ind w:right="360"/>
      </w:pPr>
      <w:r w:rsidRPr="008D1A51">
        <w:t xml:space="preserve">Peripheral BCx are preferred over central lines blood cultures due to lower </w:t>
      </w:r>
      <w:r w:rsidR="00F93E47">
        <w:t xml:space="preserve">rate of </w:t>
      </w:r>
      <w:r w:rsidRPr="008D1A51">
        <w:t xml:space="preserve">false positives. </w:t>
      </w:r>
    </w:p>
    <w:p w14:paraId="114F45B3" w14:textId="3DF4EA13" w:rsidR="00A16253" w:rsidRPr="00F738ED" w:rsidRDefault="008D1A51" w:rsidP="00AD62CD">
      <w:pPr>
        <w:pStyle w:val="ListParagraph"/>
        <w:numPr>
          <w:ilvl w:val="0"/>
          <w:numId w:val="32"/>
        </w:numPr>
        <w:pBdr>
          <w:top w:val="single" w:sz="6" w:space="1" w:color="007DA3" w:themeColor="accent1"/>
          <w:left w:val="single" w:sz="6" w:space="4" w:color="007DA3" w:themeColor="accent1"/>
          <w:bottom w:val="single" w:sz="6" w:space="1" w:color="007DA3" w:themeColor="accent1"/>
          <w:right w:val="single" w:sz="6" w:space="4" w:color="007DA3" w:themeColor="accent1"/>
        </w:pBdr>
        <w:shd w:val="clear" w:color="auto" w:fill="FFFFFF" w:themeFill="background1"/>
        <w:spacing w:after="120"/>
        <w:ind w:right="360"/>
      </w:pPr>
      <w:r w:rsidRPr="008D1A51">
        <w:t>Always draw 2 peripheral sets (i.e., 4 bottles with 8-10cc/bottle).</w:t>
      </w:r>
    </w:p>
    <w:p w14:paraId="55BE23F0" w14:textId="6A18D0D3" w:rsidR="00583AD8" w:rsidRDefault="00583AD8" w:rsidP="0029077B">
      <w:pPr>
        <w:spacing w:after="60"/>
        <w:ind w:right="216"/>
      </w:pPr>
      <w:r>
        <w:t xml:space="preserve">Avoid use of blood cultures when they are not clinically appropriate. The algorithm presented here </w:t>
      </w:r>
      <w:r w:rsidR="008C281E">
        <w:t xml:space="preserve">is intended as </w:t>
      </w:r>
      <w:r>
        <w:t xml:space="preserve">a decision-making </w:t>
      </w:r>
      <w:r w:rsidR="008C281E">
        <w:t>aid to assess when blood cultures are necessary.</w:t>
      </w:r>
    </w:p>
    <w:p w14:paraId="60B887AD" w14:textId="22C1DC1D" w:rsidR="00066033" w:rsidRDefault="00583AD8" w:rsidP="0029077B">
      <w:pPr>
        <w:spacing w:after="60"/>
        <w:ind w:right="216"/>
      </w:pPr>
      <w:r>
        <w:t>The algorithm differentiates between initial indications for blood cultures in the setting of a new clinical event, and “follow up” blood cultures that are sometimes indicated to determine and document clearance of bacteremia.</w:t>
      </w:r>
    </w:p>
    <w:p w14:paraId="7657EA6B" w14:textId="3D420CF8" w:rsidR="003A6D28" w:rsidRPr="003A6D28" w:rsidRDefault="003A6D28" w:rsidP="00AD62CD">
      <w:pPr>
        <w:pStyle w:val="Heading2"/>
      </w:pPr>
      <w:r w:rsidRPr="003A6D28">
        <w:t>Background</w:t>
      </w:r>
    </w:p>
    <w:p w14:paraId="12CBA9A0" w14:textId="75030EF1" w:rsidR="00D37179" w:rsidRDefault="00FA3735" w:rsidP="0029077B">
      <w:pPr>
        <w:spacing w:after="60"/>
        <w:ind w:right="216"/>
      </w:pPr>
      <w:r>
        <w:t xml:space="preserve">This algorithm was </w:t>
      </w:r>
      <w:r w:rsidR="00D40A3F">
        <w:t>developed as part of the DISTRIBUTE Study</w:t>
      </w:r>
      <w:r w:rsidR="00C16D68">
        <w:t xml:space="preserve"> and was informed by</w:t>
      </w:r>
      <w:r w:rsidR="007B1B52" w:rsidRPr="007B1B52">
        <w:t xml:space="preserve"> a scoping review </w:t>
      </w:r>
      <w:r w:rsidR="00C16D68">
        <w:t xml:space="preserve">examining </w:t>
      </w:r>
      <w:r w:rsidR="007B1B52">
        <w:t>the effectiveness</w:t>
      </w:r>
      <w:r w:rsidR="007B1B52" w:rsidRPr="007B1B52">
        <w:t xml:space="preserve"> of </w:t>
      </w:r>
      <w:r w:rsidR="00C16D68">
        <w:t>blood cultures across a range of clinical scenarios involving adult nonneutropenic inpatients</w:t>
      </w:r>
      <w:r w:rsidR="007B1B52" w:rsidRPr="007B1B52">
        <w:t xml:space="preserve">. </w:t>
      </w:r>
      <w:r w:rsidR="00C16D68">
        <w:t xml:space="preserve">Development of the </w:t>
      </w:r>
      <w:r w:rsidR="007B1B52" w:rsidRPr="007B1B52">
        <w:t xml:space="preserve">algorithm </w:t>
      </w:r>
      <w:r w:rsidR="00C16D68">
        <w:t xml:space="preserve">was led </w:t>
      </w:r>
      <w:r w:rsidR="007B1B52" w:rsidRPr="007B1B52">
        <w:t>by a multidisciplinary team</w:t>
      </w:r>
      <w:r w:rsidR="00C16D68">
        <w:t xml:space="preserve"> that included experts in</w:t>
      </w:r>
      <w:r w:rsidR="007B1B52" w:rsidRPr="007B1B52">
        <w:t xml:space="preserve"> antimicrobial stewardship, hospital epidemiology, critical care, hospital medicine, surgery, medical microbiology, and infectious diseases</w:t>
      </w:r>
      <w:r w:rsidR="008221A4">
        <w:t xml:space="preserve">. </w:t>
      </w:r>
    </w:p>
    <w:p w14:paraId="180EAF3A" w14:textId="0ADB2CB9" w:rsidR="00F757DC" w:rsidRDefault="00C16D68" w:rsidP="0029077B">
      <w:pPr>
        <w:spacing w:after="60"/>
        <w:ind w:right="216"/>
      </w:pPr>
      <w:r>
        <w:t>Additional details o</w:t>
      </w:r>
      <w:r w:rsidR="008221A4">
        <w:t xml:space="preserve">n the development of the algorithm and the </w:t>
      </w:r>
      <w:r>
        <w:t xml:space="preserve">design, implementation, and outcomes of the </w:t>
      </w:r>
      <w:r w:rsidR="008221A4">
        <w:t xml:space="preserve">DISTRIBUTE Study </w:t>
      </w:r>
      <w:r>
        <w:t>are available in the following publications:</w:t>
      </w:r>
    </w:p>
    <w:p w14:paraId="4E5A36F6" w14:textId="77777777" w:rsidR="00FB6EAE" w:rsidRDefault="00FB6EAE" w:rsidP="00AD62CD">
      <w:pPr>
        <w:pStyle w:val="ListParagraph"/>
        <w:numPr>
          <w:ilvl w:val="0"/>
          <w:numId w:val="43"/>
        </w:numPr>
        <w:ind w:right="216"/>
      </w:pPr>
      <w:r>
        <w:t xml:space="preserve">Fabre V, Sharara SL, Salinas AB, et al. </w:t>
      </w:r>
      <w:r w:rsidRPr="00AD62CD">
        <w:rPr>
          <w:i/>
          <w:iCs/>
        </w:rPr>
        <w:t>Does this patient need blood cultures? A scoping review of indications for blood cultures in adult nonneutropenic inpatients</w:t>
      </w:r>
      <w:r>
        <w:t>. Clin Infect Dis. 2020 Aug 22;71(5):1339-47. PMID: 31942949.</w:t>
      </w:r>
    </w:p>
    <w:p w14:paraId="65908923" w14:textId="0B1C0E38" w:rsidR="00FB6EAE" w:rsidRDefault="00FB6EAE" w:rsidP="00AD62CD">
      <w:pPr>
        <w:pStyle w:val="ListParagraph"/>
        <w:numPr>
          <w:ilvl w:val="0"/>
          <w:numId w:val="43"/>
        </w:numPr>
        <w:ind w:right="216"/>
      </w:pPr>
      <w:r>
        <w:t xml:space="preserve">Fabre V, Klein E, Salinas AB, et al. </w:t>
      </w:r>
      <w:r w:rsidRPr="00AD62CD">
        <w:rPr>
          <w:i/>
          <w:iCs/>
        </w:rPr>
        <w:t>A diagnostic stewardship intervention to improve blood culture use among adult nonneutropenic inpatients: the DISTRIBUTE study</w:t>
      </w:r>
      <w:r>
        <w:t>. J Clin Microbiol. 2020 Sep 22;58(10):e01053-20. PMID: 32759354.</w:t>
      </w:r>
    </w:p>
    <w:p w14:paraId="5434FE9F" w14:textId="3749A65F" w:rsidR="003A6D28" w:rsidRDefault="003018B7" w:rsidP="00AD62CD">
      <w:pPr>
        <w:pStyle w:val="Heading2"/>
      </w:pPr>
      <w:r w:rsidRPr="003018B7">
        <w:t>Subsequent Studies Using This Algorithm</w:t>
      </w:r>
    </w:p>
    <w:p w14:paraId="694F4C20" w14:textId="3C4E9578" w:rsidR="00B73DDA" w:rsidRDefault="00B73DDA" w:rsidP="00AD62CD">
      <w:pPr>
        <w:spacing w:after="120"/>
      </w:pPr>
      <w:r w:rsidRPr="00B73DDA">
        <w:t>This algorithm has since been adapted or implemented in multiple studies evaluating diagnostic stewardship interventions:</w:t>
      </w:r>
    </w:p>
    <w:p w14:paraId="20308596" w14:textId="7C446409" w:rsidR="00783018" w:rsidRDefault="00783018" w:rsidP="00AD62CD">
      <w:pPr>
        <w:pStyle w:val="ListParagraph"/>
        <w:numPr>
          <w:ilvl w:val="0"/>
          <w:numId w:val="44"/>
        </w:numPr>
        <w:ind w:right="216"/>
      </w:pPr>
      <w:r>
        <w:t>Seidelman JL, Moehring R, Gettler E, et al. Implementation of a diagnostic stewardship intervention to improve blood-culture utilization in 2 surgical ICUs: time for a blood-culture change. Infect Control Hosp Epidemiol. 2024 Apr;45(4):452-458. PMID: 38073558.</w:t>
      </w:r>
    </w:p>
    <w:p w14:paraId="00819DFE" w14:textId="6322E5A4" w:rsidR="00783018" w:rsidRDefault="00783018" w:rsidP="00AD62CD">
      <w:pPr>
        <w:pStyle w:val="ListParagraph"/>
        <w:numPr>
          <w:ilvl w:val="0"/>
          <w:numId w:val="44"/>
        </w:numPr>
        <w:ind w:right="216"/>
      </w:pPr>
      <w:r>
        <w:t xml:space="preserve">Theophanous R, Ramos J, Calland AR, et al. Blood culture algorithm implementation in emergency department patients as a diagnostic stewardship intervention. </w:t>
      </w:r>
      <w:proofErr w:type="gramStart"/>
      <w:r>
        <w:t>Am</w:t>
      </w:r>
      <w:proofErr w:type="gramEnd"/>
      <w:r>
        <w:t xml:space="preserve"> J Infect Control. 2024 Sep;52(9):985-991. PMID: 38719159.</w:t>
      </w:r>
    </w:p>
    <w:p w14:paraId="64EECC5B" w14:textId="06246C5E" w:rsidR="001F009F" w:rsidRDefault="00783018" w:rsidP="00AD62CD">
      <w:pPr>
        <w:pStyle w:val="ListParagraph"/>
        <w:numPr>
          <w:ilvl w:val="0"/>
          <w:numId w:val="44"/>
        </w:numPr>
        <w:ind w:right="216"/>
      </w:pPr>
      <w:r>
        <w:t>Wang MC, Zhou KJ, Shay SL, et al. The impact of a blood-culture diagnostic stewardship intervention on utilization rates and antimicrobial stewardship. Infect Control Hosp Epidemiol. 2024 May;45(5):670-673. PMID: 38088164.</w:t>
      </w:r>
    </w:p>
    <w:p w14:paraId="7F95F59A" w14:textId="62E2D652" w:rsidR="00443230" w:rsidRPr="00944CF4" w:rsidRDefault="00AA514A" w:rsidP="00AB1548">
      <w:pPr>
        <w:spacing w:before="840"/>
        <w:jc w:val="right"/>
        <w:rPr>
          <w:sz w:val="18"/>
          <w:szCs w:val="18"/>
        </w:rPr>
      </w:pPr>
      <w:r w:rsidRPr="00944CF4">
        <w:rPr>
          <w:sz w:val="18"/>
          <w:szCs w:val="18"/>
        </w:rPr>
        <w:t>AHRQ Pub. No. 25-0007</w:t>
      </w:r>
    </w:p>
    <w:p w14:paraId="7A112FCA" w14:textId="4B0C9692" w:rsidR="00AA514A" w:rsidRPr="00944CF4" w:rsidRDefault="00AA514A" w:rsidP="00AA514A">
      <w:pPr>
        <w:jc w:val="right"/>
        <w:rPr>
          <w:sz w:val="18"/>
          <w:szCs w:val="18"/>
        </w:rPr>
      </w:pPr>
      <w:r w:rsidRPr="00944CF4">
        <w:rPr>
          <w:sz w:val="18"/>
          <w:szCs w:val="18"/>
        </w:rPr>
        <w:t>October 2024</w:t>
      </w:r>
    </w:p>
    <w:sectPr w:rsidR="00AA514A" w:rsidRPr="00944CF4" w:rsidSect="00AF27F2">
      <w:headerReference w:type="first" r:id="rId14"/>
      <w:endnotePr>
        <w:numFmt w:val="decimal"/>
      </w:endnotePr>
      <w:pgSz w:w="12240" w:h="15840"/>
      <w:pgMar w:top="720" w:right="720" w:bottom="720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98BADB" w14:textId="77777777" w:rsidR="004C32F1" w:rsidRDefault="004C32F1" w:rsidP="00B81F18">
      <w:r>
        <w:separator/>
      </w:r>
    </w:p>
    <w:p w14:paraId="7B4515D5" w14:textId="77777777" w:rsidR="004C32F1" w:rsidRDefault="004C32F1" w:rsidP="00B81F18"/>
  </w:endnote>
  <w:endnote w:type="continuationSeparator" w:id="0">
    <w:p w14:paraId="1965A9D8" w14:textId="77777777" w:rsidR="004C32F1" w:rsidRDefault="004C32F1" w:rsidP="00B81F18">
      <w:r>
        <w:continuationSeparator/>
      </w:r>
    </w:p>
    <w:p w14:paraId="6C317345" w14:textId="77777777" w:rsidR="004C32F1" w:rsidRDefault="004C32F1" w:rsidP="00B81F18"/>
  </w:endnote>
  <w:endnote w:type="continuationNotice" w:id="1">
    <w:p w14:paraId="2A8F5651" w14:textId="77777777" w:rsidR="004C32F1" w:rsidRDefault="004C32F1" w:rsidP="00B81F18"/>
    <w:p w14:paraId="57EF2443" w14:textId="77777777" w:rsidR="004C32F1" w:rsidRDefault="004C32F1" w:rsidP="00B81F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BFB2B" w14:textId="54709558" w:rsidR="008D58E4" w:rsidRPr="004835BF" w:rsidRDefault="004835BF" w:rsidP="004835BF">
    <w:pPr>
      <w:pStyle w:val="FooterText"/>
      <w:tabs>
        <w:tab w:val="right" w:pos="10800"/>
      </w:tabs>
      <w:spacing w:before="240"/>
      <w:jc w:val="right"/>
      <w:rPr>
        <w:b/>
        <w:bCs w:val="0"/>
      </w:rPr>
    </w:pPr>
    <w:r w:rsidRPr="00F91E7D">
      <w:rPr>
        <w:b/>
        <w:bCs w:val="0"/>
      </w:rPr>
      <w:t>AHRQ Safety Program for MRSA Prevention</w:t>
    </w:r>
    <w:r>
      <w:rPr>
        <w:b/>
        <w:bCs w:val="0"/>
      </w:rPr>
      <w:t xml:space="preserve"> |</w:t>
    </w:r>
    <w:r w:rsidRPr="00F91E7D">
      <w:rPr>
        <w:b/>
        <w:bCs w:val="0"/>
      </w:rPr>
      <w:t xml:space="preserve"> </w:t>
    </w:r>
    <w:r w:rsidRPr="00F91E7D">
      <w:t xml:space="preserve">ICU </w:t>
    </w:r>
    <w:r>
      <w:t xml:space="preserve">&amp; </w:t>
    </w:r>
    <w:r w:rsidRPr="00F91E7D">
      <w:t>Non-ICU</w:t>
    </w:r>
    <w:r>
      <w:t xml:space="preserve"> </w:t>
    </w:r>
    <w:r>
      <w:tab/>
    </w:r>
    <w:r w:rsidRPr="005D7EEB">
      <w:t>&lt;</w:t>
    </w:r>
    <w:r>
      <w:t>TITLE</w:t>
    </w:r>
    <w:r w:rsidRPr="005D7EEB">
      <w:t>&gt;</w:t>
    </w:r>
    <w:r w:rsidRPr="00F91E7D">
      <w:rPr>
        <w:b/>
        <w:bCs w:val="0"/>
      </w:rPr>
      <w:t xml:space="preserve"> | </w:t>
    </w:r>
    <w:r w:rsidRPr="00F91E7D">
      <w:rPr>
        <w:b/>
        <w:bCs w:val="0"/>
      </w:rPr>
      <w:fldChar w:fldCharType="begin"/>
    </w:r>
    <w:r w:rsidRPr="00F91E7D">
      <w:rPr>
        <w:b/>
        <w:bCs w:val="0"/>
      </w:rPr>
      <w:instrText xml:space="preserve"> PAGE   \* MERGEFORMAT </w:instrText>
    </w:r>
    <w:r w:rsidRPr="00F91E7D">
      <w:rPr>
        <w:b/>
        <w:bCs w:val="0"/>
      </w:rPr>
      <w:fldChar w:fldCharType="separate"/>
    </w:r>
    <w:r>
      <w:rPr>
        <w:b/>
        <w:bCs w:val="0"/>
      </w:rPr>
      <w:t>1</w:t>
    </w:r>
    <w:r w:rsidRPr="00F91E7D">
      <w:rPr>
        <w:b/>
        <w:bCs w:val="0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A6086" w14:textId="77777777" w:rsidR="004C32F1" w:rsidRDefault="004C32F1" w:rsidP="00B81F18">
      <w:r>
        <w:separator/>
      </w:r>
    </w:p>
    <w:p w14:paraId="58D5AF0C" w14:textId="77777777" w:rsidR="004C32F1" w:rsidRDefault="004C32F1" w:rsidP="00B81F18"/>
  </w:footnote>
  <w:footnote w:type="continuationSeparator" w:id="0">
    <w:p w14:paraId="31E12A39" w14:textId="77777777" w:rsidR="004C32F1" w:rsidRDefault="004C32F1" w:rsidP="00B81F18">
      <w:r>
        <w:continuationSeparator/>
      </w:r>
    </w:p>
    <w:p w14:paraId="261D970A" w14:textId="77777777" w:rsidR="004C32F1" w:rsidRDefault="004C32F1" w:rsidP="00B81F18"/>
  </w:footnote>
  <w:footnote w:type="continuationNotice" w:id="1">
    <w:p w14:paraId="7A960D6D" w14:textId="77777777" w:rsidR="004C32F1" w:rsidRDefault="004C32F1" w:rsidP="00B81F18"/>
    <w:p w14:paraId="698E025C" w14:textId="77777777" w:rsidR="004C32F1" w:rsidRDefault="004C32F1" w:rsidP="00B81F1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015C9" w14:textId="4F563268" w:rsidR="00E66198" w:rsidRPr="006841DE" w:rsidRDefault="00597723" w:rsidP="006841DE">
    <w:pPr>
      <w:pStyle w:val="Title"/>
    </w:pPr>
    <w:r w:rsidRPr="006841DE">
      <w:rPr>
        <w:noProof/>
      </w:rPr>
      <w:drawing>
        <wp:anchor distT="0" distB="0" distL="114300" distR="114300" simplePos="0" relativeHeight="251658242" behindDoc="0" locked="0" layoutInCell="1" allowOverlap="1" wp14:anchorId="5A34E90C" wp14:editId="19E949E3">
          <wp:simplePos x="0" y="0"/>
          <wp:positionH relativeFrom="page">
            <wp:posOffset>278130</wp:posOffset>
          </wp:positionH>
          <wp:positionV relativeFrom="page">
            <wp:posOffset>182880</wp:posOffset>
          </wp:positionV>
          <wp:extent cx="822960" cy="822960"/>
          <wp:effectExtent l="0" t="0" r="0" b="0"/>
          <wp:wrapNone/>
          <wp:docPr id="617035475" name="Picture 8">
            <a:extLst xmlns:a="http://schemas.openxmlformats.org/drawingml/2006/main">
              <a:ext uri="{FF2B5EF4-FFF2-40B4-BE49-F238E27FC236}">
                <a16:creationId xmlns:a16="http://schemas.microsoft.com/office/drawing/2014/main" id="{6EFA91E4-447F-FDCE-BC7A-9B009FD92DA9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>
                    <a:extLst>
                      <a:ext uri="{FF2B5EF4-FFF2-40B4-BE49-F238E27FC236}">
                        <a16:creationId xmlns:a16="http://schemas.microsoft.com/office/drawing/2014/main" id="{6EFA91E4-447F-FDCE-BC7A-9B009FD92DA9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296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41DE">
      <w:rPr>
        <w:noProof/>
      </w:rPr>
      <w:drawing>
        <wp:anchor distT="0" distB="0" distL="114300" distR="114300" simplePos="0" relativeHeight="251658241" behindDoc="1" locked="0" layoutInCell="1" allowOverlap="1" wp14:anchorId="5A3461A2" wp14:editId="606CB724">
          <wp:simplePos x="0" y="0"/>
          <wp:positionH relativeFrom="page">
            <wp:align>right</wp:align>
          </wp:positionH>
          <wp:positionV relativeFrom="page">
            <wp:posOffset>-150495</wp:posOffset>
          </wp:positionV>
          <wp:extent cx="10059035" cy="914400"/>
          <wp:effectExtent l="0" t="0" r="0" b="0"/>
          <wp:wrapNone/>
          <wp:docPr id="920425278" name="Picture 4">
            <a:extLst xmlns:a="http://schemas.openxmlformats.org/drawingml/2006/main">
              <a:ext uri="{FF2B5EF4-FFF2-40B4-BE49-F238E27FC236}">
                <a16:creationId xmlns:a16="http://schemas.microsoft.com/office/drawing/2014/main" id="{776957D4-3702-030B-E540-8F2E7D3FBAA8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776957D4-3702-030B-E540-8F2E7D3FBAA8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10059035" cy="91440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1E8E" w:rsidRPr="006841DE">
      <w:rPr>
        <w:noProof/>
      </w:rPr>
      <w:drawing>
        <wp:anchor distT="0" distB="0" distL="114300" distR="114300" simplePos="0" relativeHeight="251658240" behindDoc="0" locked="0" layoutInCell="1" allowOverlap="1" wp14:anchorId="0784E3E0" wp14:editId="1F7ECBB4">
          <wp:simplePos x="0" y="0"/>
          <wp:positionH relativeFrom="margin">
            <wp:align>right</wp:align>
          </wp:positionH>
          <wp:positionV relativeFrom="paragraph">
            <wp:posOffset>3589</wp:posOffset>
          </wp:positionV>
          <wp:extent cx="1081405" cy="448310"/>
          <wp:effectExtent l="0" t="0" r="4445" b="0"/>
          <wp:wrapNone/>
          <wp:docPr id="773996195" name="Picture 77399619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272304" name="Picture 151427230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1405" cy="448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B3EFD" w:rsidRPr="006841DE">
      <w:t>Blood Culture Decision Support Tool for Non-Neutropenic Adults</w:t>
    </w:r>
    <w:r w:rsidR="006841DE" w:rsidRPr="006841DE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4B826" w14:textId="6DEEFBF8" w:rsidR="0082535E" w:rsidRPr="0082535E" w:rsidRDefault="0082535E" w:rsidP="008253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F2046"/>
    <w:multiLevelType w:val="hybridMultilevel"/>
    <w:tmpl w:val="E2DA672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B639D"/>
    <w:multiLevelType w:val="hybridMultilevel"/>
    <w:tmpl w:val="9B44F40A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C3B36"/>
    <w:multiLevelType w:val="hybridMultilevel"/>
    <w:tmpl w:val="79C4D1A4"/>
    <w:lvl w:ilvl="0" w:tplc="04090019">
      <w:start w:val="1"/>
      <w:numFmt w:val="lowerLetter"/>
      <w:lvlText w:val="%1."/>
      <w:lvlJc w:val="left"/>
      <w:pPr>
        <w:ind w:left="4590" w:hanging="360"/>
      </w:pPr>
    </w:lvl>
    <w:lvl w:ilvl="1" w:tplc="04090019" w:tentative="1">
      <w:start w:val="1"/>
      <w:numFmt w:val="lowerLetter"/>
      <w:lvlText w:val="%2."/>
      <w:lvlJc w:val="left"/>
      <w:pPr>
        <w:ind w:left="5310" w:hanging="360"/>
      </w:pPr>
    </w:lvl>
    <w:lvl w:ilvl="2" w:tplc="0409001B" w:tentative="1">
      <w:start w:val="1"/>
      <w:numFmt w:val="lowerRoman"/>
      <w:lvlText w:val="%3."/>
      <w:lvlJc w:val="right"/>
      <w:pPr>
        <w:ind w:left="6030" w:hanging="180"/>
      </w:pPr>
    </w:lvl>
    <w:lvl w:ilvl="3" w:tplc="0409000F" w:tentative="1">
      <w:start w:val="1"/>
      <w:numFmt w:val="decimal"/>
      <w:lvlText w:val="%4."/>
      <w:lvlJc w:val="left"/>
      <w:pPr>
        <w:ind w:left="6750" w:hanging="360"/>
      </w:pPr>
    </w:lvl>
    <w:lvl w:ilvl="4" w:tplc="04090019" w:tentative="1">
      <w:start w:val="1"/>
      <w:numFmt w:val="lowerLetter"/>
      <w:lvlText w:val="%5."/>
      <w:lvlJc w:val="left"/>
      <w:pPr>
        <w:ind w:left="7470" w:hanging="360"/>
      </w:pPr>
    </w:lvl>
    <w:lvl w:ilvl="5" w:tplc="0409001B" w:tentative="1">
      <w:start w:val="1"/>
      <w:numFmt w:val="lowerRoman"/>
      <w:lvlText w:val="%6."/>
      <w:lvlJc w:val="right"/>
      <w:pPr>
        <w:ind w:left="8190" w:hanging="180"/>
      </w:pPr>
    </w:lvl>
    <w:lvl w:ilvl="6" w:tplc="0409000F" w:tentative="1">
      <w:start w:val="1"/>
      <w:numFmt w:val="decimal"/>
      <w:lvlText w:val="%7."/>
      <w:lvlJc w:val="left"/>
      <w:pPr>
        <w:ind w:left="8910" w:hanging="360"/>
      </w:pPr>
    </w:lvl>
    <w:lvl w:ilvl="7" w:tplc="04090019" w:tentative="1">
      <w:start w:val="1"/>
      <w:numFmt w:val="lowerLetter"/>
      <w:lvlText w:val="%8."/>
      <w:lvlJc w:val="left"/>
      <w:pPr>
        <w:ind w:left="9630" w:hanging="360"/>
      </w:pPr>
    </w:lvl>
    <w:lvl w:ilvl="8" w:tplc="0409001B" w:tentative="1">
      <w:start w:val="1"/>
      <w:numFmt w:val="lowerRoman"/>
      <w:lvlText w:val="%9."/>
      <w:lvlJc w:val="right"/>
      <w:pPr>
        <w:ind w:left="10350" w:hanging="180"/>
      </w:pPr>
    </w:lvl>
  </w:abstractNum>
  <w:abstractNum w:abstractNumId="3" w15:restartNumberingAfterBreak="0">
    <w:nsid w:val="0C26363D"/>
    <w:multiLevelType w:val="hybridMultilevel"/>
    <w:tmpl w:val="477A6376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F6657"/>
    <w:multiLevelType w:val="hybridMultilevel"/>
    <w:tmpl w:val="DBFE56D4"/>
    <w:lvl w:ilvl="0" w:tplc="625A755C">
      <w:start w:val="19"/>
      <w:numFmt w:val="bullet"/>
      <w:lvlText w:val="-"/>
      <w:lvlJc w:val="left"/>
      <w:pPr>
        <w:ind w:left="4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0F5679EC"/>
    <w:multiLevelType w:val="hybridMultilevel"/>
    <w:tmpl w:val="C44C3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C00EB6"/>
    <w:multiLevelType w:val="hybridMultilevel"/>
    <w:tmpl w:val="1766FFAC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F21432"/>
    <w:multiLevelType w:val="hybridMultilevel"/>
    <w:tmpl w:val="E5E4D880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34A88"/>
    <w:multiLevelType w:val="hybridMultilevel"/>
    <w:tmpl w:val="28B63B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7C06B9"/>
    <w:multiLevelType w:val="hybridMultilevel"/>
    <w:tmpl w:val="1A62833E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4601C2"/>
    <w:multiLevelType w:val="hybridMultilevel"/>
    <w:tmpl w:val="1F124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F962D6"/>
    <w:multiLevelType w:val="hybridMultilevel"/>
    <w:tmpl w:val="14ECE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5B17B1"/>
    <w:multiLevelType w:val="hybridMultilevel"/>
    <w:tmpl w:val="D4E850B0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CE02C6A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768A1AB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A7076A"/>
    <w:multiLevelType w:val="hybridMultilevel"/>
    <w:tmpl w:val="AA24D190"/>
    <w:lvl w:ilvl="0" w:tplc="6EAC2700">
      <w:start w:val="1"/>
      <w:numFmt w:val="bullet"/>
      <w:lvlText w:val="④"/>
      <w:lvlJc w:val="left"/>
      <w:pPr>
        <w:ind w:left="720" w:hanging="360"/>
      </w:pPr>
      <w:rPr>
        <w:rFonts w:ascii="Calibri" w:hAnsi="Calibri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9B6BD1"/>
    <w:multiLevelType w:val="hybridMultilevel"/>
    <w:tmpl w:val="323A4B00"/>
    <w:lvl w:ilvl="0" w:tplc="B922EE16">
      <w:start w:val="1"/>
      <w:numFmt w:val="decimal"/>
      <w:pStyle w:val="Ref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B00A1C"/>
    <w:multiLevelType w:val="hybridMultilevel"/>
    <w:tmpl w:val="14D6A736"/>
    <w:lvl w:ilvl="0" w:tplc="C9B24A6A">
      <w:start w:val="1"/>
      <w:numFmt w:val="bullet"/>
      <w:lvlText w:val="①"/>
      <w:lvlJc w:val="left"/>
      <w:pPr>
        <w:ind w:left="720" w:hanging="360"/>
      </w:pPr>
      <w:rPr>
        <w:rFonts w:ascii="Calibri" w:hAnsi="Calibri"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8314C0"/>
    <w:multiLevelType w:val="hybridMultilevel"/>
    <w:tmpl w:val="9B6AB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E9270E"/>
    <w:multiLevelType w:val="hybridMultilevel"/>
    <w:tmpl w:val="DEC0118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4949AF"/>
    <w:multiLevelType w:val="hybridMultilevel"/>
    <w:tmpl w:val="F458797E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114A6F"/>
    <w:multiLevelType w:val="hybridMultilevel"/>
    <w:tmpl w:val="87D460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3C3443"/>
    <w:multiLevelType w:val="hybridMultilevel"/>
    <w:tmpl w:val="DEFE5344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A942D5"/>
    <w:multiLevelType w:val="hybridMultilevel"/>
    <w:tmpl w:val="1AB87538"/>
    <w:lvl w:ilvl="0" w:tplc="811EFF3E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772ABC"/>
    <w:multiLevelType w:val="hybridMultilevel"/>
    <w:tmpl w:val="404AB788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4D1716"/>
    <w:multiLevelType w:val="hybridMultilevel"/>
    <w:tmpl w:val="D02E0EC0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C0EA6792">
      <w:start w:val="84"/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BB1403"/>
    <w:multiLevelType w:val="hybridMultilevel"/>
    <w:tmpl w:val="2F567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3C64D6"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F74DD8"/>
    <w:multiLevelType w:val="hybridMultilevel"/>
    <w:tmpl w:val="261A34A4"/>
    <w:lvl w:ilvl="0" w:tplc="811EFF3E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084425"/>
    <w:multiLevelType w:val="hybridMultilevel"/>
    <w:tmpl w:val="F50C7BB4"/>
    <w:lvl w:ilvl="0" w:tplc="811EFF3E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4A1C13"/>
    <w:multiLevelType w:val="hybridMultilevel"/>
    <w:tmpl w:val="9AB49936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6919B5"/>
    <w:multiLevelType w:val="hybridMultilevel"/>
    <w:tmpl w:val="BEE6F210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C0EA6792">
      <w:start w:val="84"/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3C1420"/>
    <w:multiLevelType w:val="hybridMultilevel"/>
    <w:tmpl w:val="966E83E8"/>
    <w:lvl w:ilvl="0" w:tplc="5304185A">
      <w:start w:val="1"/>
      <w:numFmt w:val="bullet"/>
      <w:lvlText w:val="②"/>
      <w:lvlJc w:val="left"/>
      <w:pPr>
        <w:ind w:left="720" w:hanging="360"/>
      </w:pPr>
      <w:rPr>
        <w:rFonts w:ascii="Calibri" w:hAnsi="Calibri"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6918AD"/>
    <w:multiLevelType w:val="hybridMultilevel"/>
    <w:tmpl w:val="D4EAC85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56F6736E"/>
    <w:multiLevelType w:val="hybridMultilevel"/>
    <w:tmpl w:val="A65211AE"/>
    <w:lvl w:ilvl="0" w:tplc="18BC2D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DA3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851BE8"/>
    <w:multiLevelType w:val="hybridMultilevel"/>
    <w:tmpl w:val="9904CB94"/>
    <w:lvl w:ilvl="0" w:tplc="77BE4A4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9E1AFBF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7A02B44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3F5C1626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F2DEC05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4C3812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54E665A8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6F34B12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228F14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96A7C99"/>
    <w:multiLevelType w:val="hybridMultilevel"/>
    <w:tmpl w:val="9FF03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F20AC0"/>
    <w:multiLevelType w:val="hybridMultilevel"/>
    <w:tmpl w:val="15F008A8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5A7BDD"/>
    <w:multiLevelType w:val="hybridMultilevel"/>
    <w:tmpl w:val="469C391C"/>
    <w:lvl w:ilvl="0" w:tplc="11F2EAF8">
      <w:start w:val="1"/>
      <w:numFmt w:val="bullet"/>
      <w:lvlText w:val="③"/>
      <w:lvlJc w:val="left"/>
      <w:pPr>
        <w:ind w:left="720" w:hanging="360"/>
      </w:pPr>
      <w:rPr>
        <w:rFonts w:ascii="Calibri" w:hAnsi="Calibri"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F005F2"/>
    <w:multiLevelType w:val="hybridMultilevel"/>
    <w:tmpl w:val="FF4EFB2C"/>
    <w:lvl w:ilvl="0" w:tplc="20CCB5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72AE0DAE">
      <w:start w:val="3"/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C9108E"/>
    <w:multiLevelType w:val="hybridMultilevel"/>
    <w:tmpl w:val="A274CF1A"/>
    <w:lvl w:ilvl="0" w:tplc="9ABCAAA8">
      <w:start w:val="1"/>
      <w:numFmt w:val="decimal"/>
      <w:lvlText w:val="%1"/>
      <w:lvlJc w:val="left"/>
      <w:pPr>
        <w:ind w:left="360" w:hanging="360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78109D0"/>
    <w:multiLevelType w:val="hybridMultilevel"/>
    <w:tmpl w:val="57749798"/>
    <w:lvl w:ilvl="0" w:tplc="0748968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007DA3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7A17F4">
      <w:numFmt w:val="bullet"/>
      <w:lvlText w:val="-"/>
      <w:lvlJc w:val="left"/>
      <w:pPr>
        <w:ind w:left="2880" w:hanging="360"/>
      </w:pPr>
      <w:rPr>
        <w:rFonts w:ascii="Calibri" w:eastAsiaTheme="minorEastAsia" w:hAnsi="Calibri" w:hint="default"/>
        <w:b/>
        <w:i w:val="0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956786"/>
    <w:multiLevelType w:val="hybridMultilevel"/>
    <w:tmpl w:val="A388226A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EB079F"/>
    <w:multiLevelType w:val="hybridMultilevel"/>
    <w:tmpl w:val="232225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4E504B"/>
    <w:multiLevelType w:val="hybridMultilevel"/>
    <w:tmpl w:val="FF4EFB2C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3"/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F3450A"/>
    <w:multiLevelType w:val="hybridMultilevel"/>
    <w:tmpl w:val="539619D4"/>
    <w:lvl w:ilvl="0" w:tplc="374014A0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DA70C1"/>
    <w:multiLevelType w:val="hybridMultilevel"/>
    <w:tmpl w:val="EB92EF08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1107978">
    <w:abstractNumId w:val="4"/>
  </w:num>
  <w:num w:numId="2" w16cid:durableId="344525615">
    <w:abstractNumId w:val="26"/>
  </w:num>
  <w:num w:numId="3" w16cid:durableId="885683521">
    <w:abstractNumId w:val="21"/>
  </w:num>
  <w:num w:numId="4" w16cid:durableId="43649322">
    <w:abstractNumId w:val="12"/>
  </w:num>
  <w:num w:numId="5" w16cid:durableId="2105412758">
    <w:abstractNumId w:val="13"/>
  </w:num>
  <w:num w:numId="6" w16cid:durableId="1934776602">
    <w:abstractNumId w:val="22"/>
  </w:num>
  <w:num w:numId="7" w16cid:durableId="945582592">
    <w:abstractNumId w:val="27"/>
  </w:num>
  <w:num w:numId="8" w16cid:durableId="1020084692">
    <w:abstractNumId w:val="6"/>
  </w:num>
  <w:num w:numId="9" w16cid:durableId="2011135310">
    <w:abstractNumId w:val="39"/>
  </w:num>
  <w:num w:numId="10" w16cid:durableId="1666936013">
    <w:abstractNumId w:val="25"/>
  </w:num>
  <w:num w:numId="11" w16cid:durableId="325211512">
    <w:abstractNumId w:val="42"/>
  </w:num>
  <w:num w:numId="12" w16cid:durableId="706225747">
    <w:abstractNumId w:val="15"/>
  </w:num>
  <w:num w:numId="13" w16cid:durableId="560137936">
    <w:abstractNumId w:val="18"/>
  </w:num>
  <w:num w:numId="14" w16cid:durableId="1605184650">
    <w:abstractNumId w:val="7"/>
  </w:num>
  <w:num w:numId="15" w16cid:durableId="777599538">
    <w:abstractNumId w:val="9"/>
  </w:num>
  <w:num w:numId="16" w16cid:durableId="1222137090">
    <w:abstractNumId w:val="29"/>
  </w:num>
  <w:num w:numId="17" w16cid:durableId="1843351410">
    <w:abstractNumId w:val="43"/>
  </w:num>
  <w:num w:numId="18" w16cid:durableId="472062977">
    <w:abstractNumId w:val="23"/>
  </w:num>
  <w:num w:numId="19" w16cid:durableId="1100569918">
    <w:abstractNumId w:val="28"/>
  </w:num>
  <w:num w:numId="20" w16cid:durableId="2090886110">
    <w:abstractNumId w:val="35"/>
  </w:num>
  <w:num w:numId="21" w16cid:durableId="873544918">
    <w:abstractNumId w:val="1"/>
  </w:num>
  <w:num w:numId="22" w16cid:durableId="994188242">
    <w:abstractNumId w:val="34"/>
  </w:num>
  <w:num w:numId="23" w16cid:durableId="127862642">
    <w:abstractNumId w:val="37"/>
  </w:num>
  <w:num w:numId="24" w16cid:durableId="76559370">
    <w:abstractNumId w:val="19"/>
  </w:num>
  <w:num w:numId="25" w16cid:durableId="994457845">
    <w:abstractNumId w:val="14"/>
  </w:num>
  <w:num w:numId="26" w16cid:durableId="2117284741">
    <w:abstractNumId w:val="31"/>
  </w:num>
  <w:num w:numId="27" w16cid:durableId="1572496820">
    <w:abstractNumId w:val="38"/>
  </w:num>
  <w:num w:numId="28" w16cid:durableId="238444599">
    <w:abstractNumId w:val="2"/>
  </w:num>
  <w:num w:numId="29" w16cid:durableId="1605503190">
    <w:abstractNumId w:val="32"/>
  </w:num>
  <w:num w:numId="30" w16cid:durableId="343433973">
    <w:abstractNumId w:val="24"/>
  </w:num>
  <w:num w:numId="31" w16cid:durableId="793713142">
    <w:abstractNumId w:val="16"/>
  </w:num>
  <w:num w:numId="32" w16cid:durableId="1432974286">
    <w:abstractNumId w:val="10"/>
  </w:num>
  <w:num w:numId="33" w16cid:durableId="2019695632">
    <w:abstractNumId w:val="8"/>
  </w:num>
  <w:num w:numId="34" w16cid:durableId="907227989">
    <w:abstractNumId w:val="36"/>
  </w:num>
  <w:num w:numId="35" w16cid:durableId="681862868">
    <w:abstractNumId w:val="0"/>
  </w:num>
  <w:num w:numId="36" w16cid:durableId="505905097">
    <w:abstractNumId w:val="17"/>
  </w:num>
  <w:num w:numId="37" w16cid:durableId="2145851472">
    <w:abstractNumId w:val="20"/>
  </w:num>
  <w:num w:numId="38" w16cid:durableId="214002831">
    <w:abstractNumId w:val="41"/>
  </w:num>
  <w:num w:numId="39" w16cid:durableId="844126449">
    <w:abstractNumId w:val="3"/>
  </w:num>
  <w:num w:numId="40" w16cid:durableId="1037698991">
    <w:abstractNumId w:val="30"/>
  </w:num>
  <w:num w:numId="41" w16cid:durableId="1052189892">
    <w:abstractNumId w:val="40"/>
  </w:num>
  <w:num w:numId="42" w16cid:durableId="328018454">
    <w:abstractNumId w:val="5"/>
  </w:num>
  <w:num w:numId="43" w16cid:durableId="652760313">
    <w:abstractNumId w:val="11"/>
  </w:num>
  <w:num w:numId="44" w16cid:durableId="18997771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114"/>
    <w:rsid w:val="000011D1"/>
    <w:rsid w:val="000014BD"/>
    <w:rsid w:val="00003F47"/>
    <w:rsid w:val="00005293"/>
    <w:rsid w:val="00015744"/>
    <w:rsid w:val="00015BAC"/>
    <w:rsid w:val="00015F6A"/>
    <w:rsid w:val="00030D8A"/>
    <w:rsid w:val="000325E8"/>
    <w:rsid w:val="00032EA5"/>
    <w:rsid w:val="00035D04"/>
    <w:rsid w:val="0003631D"/>
    <w:rsid w:val="00036562"/>
    <w:rsid w:val="000464E0"/>
    <w:rsid w:val="00046F5C"/>
    <w:rsid w:val="00047A0B"/>
    <w:rsid w:val="00047D44"/>
    <w:rsid w:val="00047F1D"/>
    <w:rsid w:val="00053E3D"/>
    <w:rsid w:val="00061895"/>
    <w:rsid w:val="00063743"/>
    <w:rsid w:val="0006528D"/>
    <w:rsid w:val="00065338"/>
    <w:rsid w:val="00066033"/>
    <w:rsid w:val="00074791"/>
    <w:rsid w:val="00076115"/>
    <w:rsid w:val="00076B59"/>
    <w:rsid w:val="00085186"/>
    <w:rsid w:val="000856D6"/>
    <w:rsid w:val="000937C2"/>
    <w:rsid w:val="000A4CCC"/>
    <w:rsid w:val="000A5918"/>
    <w:rsid w:val="000A799B"/>
    <w:rsid w:val="000A7DD3"/>
    <w:rsid w:val="000B2076"/>
    <w:rsid w:val="000C2225"/>
    <w:rsid w:val="000C4154"/>
    <w:rsid w:val="000C7141"/>
    <w:rsid w:val="000C79D3"/>
    <w:rsid w:val="000D609D"/>
    <w:rsid w:val="000D79E5"/>
    <w:rsid w:val="000E0D8E"/>
    <w:rsid w:val="000E1391"/>
    <w:rsid w:val="000E3D00"/>
    <w:rsid w:val="000E4D54"/>
    <w:rsid w:val="000E50E8"/>
    <w:rsid w:val="000F1678"/>
    <w:rsid w:val="000F444F"/>
    <w:rsid w:val="000F7DF1"/>
    <w:rsid w:val="0010258F"/>
    <w:rsid w:val="00114A92"/>
    <w:rsid w:val="00117754"/>
    <w:rsid w:val="001201A4"/>
    <w:rsid w:val="00121206"/>
    <w:rsid w:val="001250A8"/>
    <w:rsid w:val="00132E23"/>
    <w:rsid w:val="00140F4D"/>
    <w:rsid w:val="00141E96"/>
    <w:rsid w:val="00143F41"/>
    <w:rsid w:val="001516B2"/>
    <w:rsid w:val="00154647"/>
    <w:rsid w:val="0016704E"/>
    <w:rsid w:val="00170E53"/>
    <w:rsid w:val="001751AD"/>
    <w:rsid w:val="00182814"/>
    <w:rsid w:val="00183382"/>
    <w:rsid w:val="0018752C"/>
    <w:rsid w:val="001931F4"/>
    <w:rsid w:val="001944C4"/>
    <w:rsid w:val="00195E0F"/>
    <w:rsid w:val="00196F20"/>
    <w:rsid w:val="001A77D5"/>
    <w:rsid w:val="001B1787"/>
    <w:rsid w:val="001B373B"/>
    <w:rsid w:val="001B4835"/>
    <w:rsid w:val="001C2B0D"/>
    <w:rsid w:val="001C4737"/>
    <w:rsid w:val="001D0A44"/>
    <w:rsid w:val="001E0217"/>
    <w:rsid w:val="001E57A8"/>
    <w:rsid w:val="001E7044"/>
    <w:rsid w:val="001F009F"/>
    <w:rsid w:val="001F047E"/>
    <w:rsid w:val="001F0612"/>
    <w:rsid w:val="001F19E4"/>
    <w:rsid w:val="001F1C19"/>
    <w:rsid w:val="001F2578"/>
    <w:rsid w:val="001F3190"/>
    <w:rsid w:val="001F5ECC"/>
    <w:rsid w:val="00204422"/>
    <w:rsid w:val="00206720"/>
    <w:rsid w:val="0020771B"/>
    <w:rsid w:val="00207BB8"/>
    <w:rsid w:val="00213294"/>
    <w:rsid w:val="00221664"/>
    <w:rsid w:val="00225DA3"/>
    <w:rsid w:val="00231D2C"/>
    <w:rsid w:val="00235B9B"/>
    <w:rsid w:val="00246E73"/>
    <w:rsid w:val="0026125E"/>
    <w:rsid w:val="00266BEC"/>
    <w:rsid w:val="00277FA7"/>
    <w:rsid w:val="0028510A"/>
    <w:rsid w:val="002870D2"/>
    <w:rsid w:val="0029077B"/>
    <w:rsid w:val="00291A85"/>
    <w:rsid w:val="00292D4A"/>
    <w:rsid w:val="002A1A1F"/>
    <w:rsid w:val="002A615C"/>
    <w:rsid w:val="002B1E8E"/>
    <w:rsid w:val="002B553E"/>
    <w:rsid w:val="002D0EAA"/>
    <w:rsid w:val="002E35EF"/>
    <w:rsid w:val="002E720F"/>
    <w:rsid w:val="002F0F47"/>
    <w:rsid w:val="002F26EE"/>
    <w:rsid w:val="002F3670"/>
    <w:rsid w:val="003018B7"/>
    <w:rsid w:val="00302FC0"/>
    <w:rsid w:val="003051D7"/>
    <w:rsid w:val="003151D8"/>
    <w:rsid w:val="0032020D"/>
    <w:rsid w:val="0032508B"/>
    <w:rsid w:val="003318DD"/>
    <w:rsid w:val="00331C54"/>
    <w:rsid w:val="00337B46"/>
    <w:rsid w:val="00337BDB"/>
    <w:rsid w:val="003461E7"/>
    <w:rsid w:val="00361EA0"/>
    <w:rsid w:val="00370FA9"/>
    <w:rsid w:val="00374A4E"/>
    <w:rsid w:val="003911AA"/>
    <w:rsid w:val="00394CA5"/>
    <w:rsid w:val="003952FF"/>
    <w:rsid w:val="00395896"/>
    <w:rsid w:val="003A6D28"/>
    <w:rsid w:val="003B4C89"/>
    <w:rsid w:val="003C0A62"/>
    <w:rsid w:val="003C27B2"/>
    <w:rsid w:val="003C42AA"/>
    <w:rsid w:val="003C5CAC"/>
    <w:rsid w:val="003C5E3B"/>
    <w:rsid w:val="003D017C"/>
    <w:rsid w:val="003D02C2"/>
    <w:rsid w:val="003D4B02"/>
    <w:rsid w:val="003E17B9"/>
    <w:rsid w:val="003E2374"/>
    <w:rsid w:val="003F2511"/>
    <w:rsid w:val="003F2AF7"/>
    <w:rsid w:val="00402F58"/>
    <w:rsid w:val="004157DD"/>
    <w:rsid w:val="00416245"/>
    <w:rsid w:val="00423DC1"/>
    <w:rsid w:val="004275EA"/>
    <w:rsid w:val="00427673"/>
    <w:rsid w:val="00434908"/>
    <w:rsid w:val="00434C61"/>
    <w:rsid w:val="00436E39"/>
    <w:rsid w:val="00437751"/>
    <w:rsid w:val="00440601"/>
    <w:rsid w:val="00440EFD"/>
    <w:rsid w:val="00443230"/>
    <w:rsid w:val="00443574"/>
    <w:rsid w:val="0044791E"/>
    <w:rsid w:val="004506C2"/>
    <w:rsid w:val="004523F9"/>
    <w:rsid w:val="004607E4"/>
    <w:rsid w:val="0047053E"/>
    <w:rsid w:val="004835BF"/>
    <w:rsid w:val="00492F08"/>
    <w:rsid w:val="0049443A"/>
    <w:rsid w:val="004959BA"/>
    <w:rsid w:val="004A648C"/>
    <w:rsid w:val="004A6527"/>
    <w:rsid w:val="004B249C"/>
    <w:rsid w:val="004B3EFD"/>
    <w:rsid w:val="004B4D90"/>
    <w:rsid w:val="004C2030"/>
    <w:rsid w:val="004C32F1"/>
    <w:rsid w:val="004C5ADD"/>
    <w:rsid w:val="004C768B"/>
    <w:rsid w:val="004D0DF5"/>
    <w:rsid w:val="004E38A7"/>
    <w:rsid w:val="004F0D49"/>
    <w:rsid w:val="004F1371"/>
    <w:rsid w:val="004F235F"/>
    <w:rsid w:val="004F5DA1"/>
    <w:rsid w:val="004F65AC"/>
    <w:rsid w:val="00500D19"/>
    <w:rsid w:val="005111A8"/>
    <w:rsid w:val="00513F32"/>
    <w:rsid w:val="005153A1"/>
    <w:rsid w:val="0052132F"/>
    <w:rsid w:val="005213CB"/>
    <w:rsid w:val="00522BE2"/>
    <w:rsid w:val="0052593E"/>
    <w:rsid w:val="00527934"/>
    <w:rsid w:val="005405E1"/>
    <w:rsid w:val="00543197"/>
    <w:rsid w:val="005512E8"/>
    <w:rsid w:val="005514DF"/>
    <w:rsid w:val="005521F9"/>
    <w:rsid w:val="00557379"/>
    <w:rsid w:val="00561F7E"/>
    <w:rsid w:val="00564A73"/>
    <w:rsid w:val="005661AD"/>
    <w:rsid w:val="005732D1"/>
    <w:rsid w:val="00575853"/>
    <w:rsid w:val="00580291"/>
    <w:rsid w:val="005833E4"/>
    <w:rsid w:val="00583513"/>
    <w:rsid w:val="00583AD8"/>
    <w:rsid w:val="0058497F"/>
    <w:rsid w:val="0058703A"/>
    <w:rsid w:val="00587B29"/>
    <w:rsid w:val="00587B2C"/>
    <w:rsid w:val="00595250"/>
    <w:rsid w:val="005959C9"/>
    <w:rsid w:val="00597723"/>
    <w:rsid w:val="005C6D51"/>
    <w:rsid w:val="005D1E02"/>
    <w:rsid w:val="005D44DD"/>
    <w:rsid w:val="005F0FEA"/>
    <w:rsid w:val="005F194B"/>
    <w:rsid w:val="005F3453"/>
    <w:rsid w:val="005F48C5"/>
    <w:rsid w:val="005F550E"/>
    <w:rsid w:val="005F6480"/>
    <w:rsid w:val="006019EC"/>
    <w:rsid w:val="006041A0"/>
    <w:rsid w:val="006044E4"/>
    <w:rsid w:val="0062188A"/>
    <w:rsid w:val="006260F9"/>
    <w:rsid w:val="006315EA"/>
    <w:rsid w:val="00633673"/>
    <w:rsid w:val="006355CC"/>
    <w:rsid w:val="00637937"/>
    <w:rsid w:val="006451D4"/>
    <w:rsid w:val="006468AD"/>
    <w:rsid w:val="006475DA"/>
    <w:rsid w:val="006561FC"/>
    <w:rsid w:val="00657436"/>
    <w:rsid w:val="006648B4"/>
    <w:rsid w:val="006649AE"/>
    <w:rsid w:val="00665AF1"/>
    <w:rsid w:val="0066745D"/>
    <w:rsid w:val="00667477"/>
    <w:rsid w:val="00674170"/>
    <w:rsid w:val="0067587E"/>
    <w:rsid w:val="0067609A"/>
    <w:rsid w:val="00680A48"/>
    <w:rsid w:val="00682AAA"/>
    <w:rsid w:val="006841DE"/>
    <w:rsid w:val="006875D6"/>
    <w:rsid w:val="006921A2"/>
    <w:rsid w:val="006A048A"/>
    <w:rsid w:val="006A4B4A"/>
    <w:rsid w:val="006A6983"/>
    <w:rsid w:val="006B7D60"/>
    <w:rsid w:val="006C1F37"/>
    <w:rsid w:val="006C2461"/>
    <w:rsid w:val="006C662F"/>
    <w:rsid w:val="006D02CD"/>
    <w:rsid w:val="006D2404"/>
    <w:rsid w:val="006D2C42"/>
    <w:rsid w:val="006F7FB1"/>
    <w:rsid w:val="00700592"/>
    <w:rsid w:val="007007FD"/>
    <w:rsid w:val="00710594"/>
    <w:rsid w:val="00711C36"/>
    <w:rsid w:val="00714E3F"/>
    <w:rsid w:val="0071500F"/>
    <w:rsid w:val="0071561F"/>
    <w:rsid w:val="007309E1"/>
    <w:rsid w:val="007325E8"/>
    <w:rsid w:val="0073750E"/>
    <w:rsid w:val="007415CA"/>
    <w:rsid w:val="007452EF"/>
    <w:rsid w:val="00747F17"/>
    <w:rsid w:val="00751F8D"/>
    <w:rsid w:val="00753E0F"/>
    <w:rsid w:val="00755FDC"/>
    <w:rsid w:val="007627F5"/>
    <w:rsid w:val="007630A4"/>
    <w:rsid w:val="00767AEE"/>
    <w:rsid w:val="0077282B"/>
    <w:rsid w:val="007821A1"/>
    <w:rsid w:val="00783018"/>
    <w:rsid w:val="00784B55"/>
    <w:rsid w:val="00791B17"/>
    <w:rsid w:val="0079205D"/>
    <w:rsid w:val="007923E9"/>
    <w:rsid w:val="007A5605"/>
    <w:rsid w:val="007A5F9A"/>
    <w:rsid w:val="007B029F"/>
    <w:rsid w:val="007B1B52"/>
    <w:rsid w:val="007B253A"/>
    <w:rsid w:val="007B4760"/>
    <w:rsid w:val="007C1F46"/>
    <w:rsid w:val="007C32EA"/>
    <w:rsid w:val="007C33F9"/>
    <w:rsid w:val="007D20B3"/>
    <w:rsid w:val="007D3309"/>
    <w:rsid w:val="007D397D"/>
    <w:rsid w:val="007D5A86"/>
    <w:rsid w:val="007E045C"/>
    <w:rsid w:val="007E2022"/>
    <w:rsid w:val="007E4A52"/>
    <w:rsid w:val="007E5E96"/>
    <w:rsid w:val="007F6722"/>
    <w:rsid w:val="00804C83"/>
    <w:rsid w:val="0080562D"/>
    <w:rsid w:val="00813280"/>
    <w:rsid w:val="00813A65"/>
    <w:rsid w:val="008221A4"/>
    <w:rsid w:val="00823421"/>
    <w:rsid w:val="0082467C"/>
    <w:rsid w:val="0082535E"/>
    <w:rsid w:val="00825901"/>
    <w:rsid w:val="00830DB9"/>
    <w:rsid w:val="00830F49"/>
    <w:rsid w:val="00851E92"/>
    <w:rsid w:val="00854E2A"/>
    <w:rsid w:val="00854F5C"/>
    <w:rsid w:val="008607BB"/>
    <w:rsid w:val="008626FF"/>
    <w:rsid w:val="00862B8C"/>
    <w:rsid w:val="00866EAE"/>
    <w:rsid w:val="008743EB"/>
    <w:rsid w:val="00881F8D"/>
    <w:rsid w:val="00882D43"/>
    <w:rsid w:val="00891A1E"/>
    <w:rsid w:val="00892697"/>
    <w:rsid w:val="00894A75"/>
    <w:rsid w:val="00897AF5"/>
    <w:rsid w:val="008A3293"/>
    <w:rsid w:val="008A76E4"/>
    <w:rsid w:val="008B0CB8"/>
    <w:rsid w:val="008B29A0"/>
    <w:rsid w:val="008B53DC"/>
    <w:rsid w:val="008C281E"/>
    <w:rsid w:val="008C3333"/>
    <w:rsid w:val="008C6771"/>
    <w:rsid w:val="008D1A51"/>
    <w:rsid w:val="008D42BD"/>
    <w:rsid w:val="008D58E4"/>
    <w:rsid w:val="008E286B"/>
    <w:rsid w:val="008E3802"/>
    <w:rsid w:val="008F2D91"/>
    <w:rsid w:val="008F4660"/>
    <w:rsid w:val="008F5315"/>
    <w:rsid w:val="009039C3"/>
    <w:rsid w:val="0090483E"/>
    <w:rsid w:val="00910CF8"/>
    <w:rsid w:val="00910E38"/>
    <w:rsid w:val="00910F34"/>
    <w:rsid w:val="00913395"/>
    <w:rsid w:val="009304EE"/>
    <w:rsid w:val="0093582C"/>
    <w:rsid w:val="0093669F"/>
    <w:rsid w:val="00941DE7"/>
    <w:rsid w:val="00942357"/>
    <w:rsid w:val="009446AC"/>
    <w:rsid w:val="00944CF4"/>
    <w:rsid w:val="00946870"/>
    <w:rsid w:val="009517D9"/>
    <w:rsid w:val="00961B50"/>
    <w:rsid w:val="009673C4"/>
    <w:rsid w:val="00975E3B"/>
    <w:rsid w:val="00976B21"/>
    <w:rsid w:val="00991E6D"/>
    <w:rsid w:val="00996319"/>
    <w:rsid w:val="009A1926"/>
    <w:rsid w:val="009A23AB"/>
    <w:rsid w:val="009B25F5"/>
    <w:rsid w:val="009B463A"/>
    <w:rsid w:val="009C03E9"/>
    <w:rsid w:val="009C2950"/>
    <w:rsid w:val="009D0323"/>
    <w:rsid w:val="009D58D3"/>
    <w:rsid w:val="009D7766"/>
    <w:rsid w:val="009E088B"/>
    <w:rsid w:val="009E0C49"/>
    <w:rsid w:val="009E45A9"/>
    <w:rsid w:val="009F19C2"/>
    <w:rsid w:val="00A00451"/>
    <w:rsid w:val="00A0597C"/>
    <w:rsid w:val="00A11490"/>
    <w:rsid w:val="00A12315"/>
    <w:rsid w:val="00A16253"/>
    <w:rsid w:val="00A22E39"/>
    <w:rsid w:val="00A22EA9"/>
    <w:rsid w:val="00A26C2E"/>
    <w:rsid w:val="00A3729E"/>
    <w:rsid w:val="00A415DB"/>
    <w:rsid w:val="00A4410F"/>
    <w:rsid w:val="00A44BD4"/>
    <w:rsid w:val="00A51D2B"/>
    <w:rsid w:val="00A65ABA"/>
    <w:rsid w:val="00A7206F"/>
    <w:rsid w:val="00A74DEB"/>
    <w:rsid w:val="00A77B3D"/>
    <w:rsid w:val="00A77C9B"/>
    <w:rsid w:val="00A77F09"/>
    <w:rsid w:val="00A81332"/>
    <w:rsid w:val="00A83E36"/>
    <w:rsid w:val="00A86720"/>
    <w:rsid w:val="00AA095A"/>
    <w:rsid w:val="00AA141F"/>
    <w:rsid w:val="00AA3224"/>
    <w:rsid w:val="00AA514A"/>
    <w:rsid w:val="00AA7E4B"/>
    <w:rsid w:val="00AB1548"/>
    <w:rsid w:val="00AB5295"/>
    <w:rsid w:val="00AC1B0E"/>
    <w:rsid w:val="00AD05DA"/>
    <w:rsid w:val="00AD1B2B"/>
    <w:rsid w:val="00AD381B"/>
    <w:rsid w:val="00AD46FC"/>
    <w:rsid w:val="00AD62CD"/>
    <w:rsid w:val="00AF27F2"/>
    <w:rsid w:val="00AF52EB"/>
    <w:rsid w:val="00B0207C"/>
    <w:rsid w:val="00B028C2"/>
    <w:rsid w:val="00B0451E"/>
    <w:rsid w:val="00B0677A"/>
    <w:rsid w:val="00B13C04"/>
    <w:rsid w:val="00B16E33"/>
    <w:rsid w:val="00B25C78"/>
    <w:rsid w:val="00B31154"/>
    <w:rsid w:val="00B311A9"/>
    <w:rsid w:val="00B3784C"/>
    <w:rsid w:val="00B40503"/>
    <w:rsid w:val="00B42931"/>
    <w:rsid w:val="00B4347F"/>
    <w:rsid w:val="00B51B88"/>
    <w:rsid w:val="00B56B02"/>
    <w:rsid w:val="00B60677"/>
    <w:rsid w:val="00B62ACE"/>
    <w:rsid w:val="00B664E9"/>
    <w:rsid w:val="00B73DDA"/>
    <w:rsid w:val="00B77D74"/>
    <w:rsid w:val="00B813D9"/>
    <w:rsid w:val="00B81F18"/>
    <w:rsid w:val="00B86530"/>
    <w:rsid w:val="00B93A97"/>
    <w:rsid w:val="00BA298A"/>
    <w:rsid w:val="00BA5C18"/>
    <w:rsid w:val="00BB2D45"/>
    <w:rsid w:val="00BB4D03"/>
    <w:rsid w:val="00BB6DAD"/>
    <w:rsid w:val="00BC405F"/>
    <w:rsid w:val="00BC7FB3"/>
    <w:rsid w:val="00BE3DEF"/>
    <w:rsid w:val="00BE6048"/>
    <w:rsid w:val="00BE7DFC"/>
    <w:rsid w:val="00C02AD0"/>
    <w:rsid w:val="00C16D68"/>
    <w:rsid w:val="00C16F5D"/>
    <w:rsid w:val="00C17618"/>
    <w:rsid w:val="00C17821"/>
    <w:rsid w:val="00C207FB"/>
    <w:rsid w:val="00C22DE6"/>
    <w:rsid w:val="00C230AB"/>
    <w:rsid w:val="00C3287E"/>
    <w:rsid w:val="00C33A5D"/>
    <w:rsid w:val="00C40422"/>
    <w:rsid w:val="00C52AC8"/>
    <w:rsid w:val="00C56788"/>
    <w:rsid w:val="00C57E17"/>
    <w:rsid w:val="00C603DA"/>
    <w:rsid w:val="00C6139F"/>
    <w:rsid w:val="00C674BC"/>
    <w:rsid w:val="00C71D12"/>
    <w:rsid w:val="00C75FE3"/>
    <w:rsid w:val="00C93DE7"/>
    <w:rsid w:val="00CA2226"/>
    <w:rsid w:val="00CA385C"/>
    <w:rsid w:val="00CA58D3"/>
    <w:rsid w:val="00CA75B4"/>
    <w:rsid w:val="00CC77B5"/>
    <w:rsid w:val="00CC7C92"/>
    <w:rsid w:val="00CD4AF9"/>
    <w:rsid w:val="00CD4E92"/>
    <w:rsid w:val="00CD5F66"/>
    <w:rsid w:val="00CD7148"/>
    <w:rsid w:val="00CE2AD1"/>
    <w:rsid w:val="00CE465B"/>
    <w:rsid w:val="00CF0BD6"/>
    <w:rsid w:val="00CF2F41"/>
    <w:rsid w:val="00CF7F49"/>
    <w:rsid w:val="00D00B7B"/>
    <w:rsid w:val="00D01593"/>
    <w:rsid w:val="00D141B8"/>
    <w:rsid w:val="00D142DA"/>
    <w:rsid w:val="00D252FA"/>
    <w:rsid w:val="00D31B9A"/>
    <w:rsid w:val="00D355DF"/>
    <w:rsid w:val="00D37179"/>
    <w:rsid w:val="00D40A3F"/>
    <w:rsid w:val="00D41FFA"/>
    <w:rsid w:val="00D47230"/>
    <w:rsid w:val="00D60948"/>
    <w:rsid w:val="00D60CD0"/>
    <w:rsid w:val="00D60E16"/>
    <w:rsid w:val="00D62FBF"/>
    <w:rsid w:val="00D64378"/>
    <w:rsid w:val="00D66DB4"/>
    <w:rsid w:val="00D81114"/>
    <w:rsid w:val="00D81CD2"/>
    <w:rsid w:val="00D85218"/>
    <w:rsid w:val="00D91D5A"/>
    <w:rsid w:val="00D934DA"/>
    <w:rsid w:val="00DA24E6"/>
    <w:rsid w:val="00DA2702"/>
    <w:rsid w:val="00DB0619"/>
    <w:rsid w:val="00DB12A8"/>
    <w:rsid w:val="00DC014C"/>
    <w:rsid w:val="00DC0404"/>
    <w:rsid w:val="00DC49D2"/>
    <w:rsid w:val="00DC4A4D"/>
    <w:rsid w:val="00DD5740"/>
    <w:rsid w:val="00DE0575"/>
    <w:rsid w:val="00DE195F"/>
    <w:rsid w:val="00DF5360"/>
    <w:rsid w:val="00E02968"/>
    <w:rsid w:val="00E1018E"/>
    <w:rsid w:val="00E13AC8"/>
    <w:rsid w:val="00E3068E"/>
    <w:rsid w:val="00E334F6"/>
    <w:rsid w:val="00E4676A"/>
    <w:rsid w:val="00E65233"/>
    <w:rsid w:val="00E66198"/>
    <w:rsid w:val="00E66CD4"/>
    <w:rsid w:val="00E70FFA"/>
    <w:rsid w:val="00E71F43"/>
    <w:rsid w:val="00E72B87"/>
    <w:rsid w:val="00E7594A"/>
    <w:rsid w:val="00E75F84"/>
    <w:rsid w:val="00E774F6"/>
    <w:rsid w:val="00E77546"/>
    <w:rsid w:val="00E81B83"/>
    <w:rsid w:val="00E82230"/>
    <w:rsid w:val="00E83E1C"/>
    <w:rsid w:val="00E85A86"/>
    <w:rsid w:val="00E865E0"/>
    <w:rsid w:val="00E919BA"/>
    <w:rsid w:val="00E938E3"/>
    <w:rsid w:val="00E95D41"/>
    <w:rsid w:val="00EA12F5"/>
    <w:rsid w:val="00EA4C26"/>
    <w:rsid w:val="00EB4830"/>
    <w:rsid w:val="00EB713A"/>
    <w:rsid w:val="00EC0567"/>
    <w:rsid w:val="00EC2B42"/>
    <w:rsid w:val="00EC5CA5"/>
    <w:rsid w:val="00EC79A2"/>
    <w:rsid w:val="00ED2A30"/>
    <w:rsid w:val="00ED463F"/>
    <w:rsid w:val="00EE572D"/>
    <w:rsid w:val="00EF27A6"/>
    <w:rsid w:val="00EF3926"/>
    <w:rsid w:val="00F1330D"/>
    <w:rsid w:val="00F147DC"/>
    <w:rsid w:val="00F14B01"/>
    <w:rsid w:val="00F16DB3"/>
    <w:rsid w:val="00F25E45"/>
    <w:rsid w:val="00F26E39"/>
    <w:rsid w:val="00F32291"/>
    <w:rsid w:val="00F37751"/>
    <w:rsid w:val="00F41953"/>
    <w:rsid w:val="00F46BBF"/>
    <w:rsid w:val="00F46ED3"/>
    <w:rsid w:val="00F52187"/>
    <w:rsid w:val="00F57057"/>
    <w:rsid w:val="00F57183"/>
    <w:rsid w:val="00F57416"/>
    <w:rsid w:val="00F72892"/>
    <w:rsid w:val="00F73F10"/>
    <w:rsid w:val="00F757DC"/>
    <w:rsid w:val="00F80A93"/>
    <w:rsid w:val="00F83BCD"/>
    <w:rsid w:val="00F93E47"/>
    <w:rsid w:val="00F95790"/>
    <w:rsid w:val="00F961AD"/>
    <w:rsid w:val="00F9769A"/>
    <w:rsid w:val="00FA157B"/>
    <w:rsid w:val="00FA31A6"/>
    <w:rsid w:val="00FA3735"/>
    <w:rsid w:val="00FA4759"/>
    <w:rsid w:val="00FA5094"/>
    <w:rsid w:val="00FB6EAE"/>
    <w:rsid w:val="00FC4D18"/>
    <w:rsid w:val="00FC6EAF"/>
    <w:rsid w:val="00FF251D"/>
    <w:rsid w:val="00FF5A7B"/>
    <w:rsid w:val="013D0840"/>
    <w:rsid w:val="496CD689"/>
    <w:rsid w:val="4DBBD45B"/>
    <w:rsid w:val="7EFA4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24D61E"/>
  <w14:defaultImageDpi w14:val="32767"/>
  <w15:chartTrackingRefBased/>
  <w15:docId w15:val="{B50CA321-4FC3-408C-8BBF-059C74DCC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1F18"/>
    <w:rPr>
      <w:rFonts w:cs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32EA"/>
    <w:pPr>
      <w:pBdr>
        <w:bottom w:val="single" w:sz="18" w:space="1" w:color="007DA3"/>
      </w:pBdr>
      <w:spacing w:after="120"/>
      <w:outlineLvl w:val="0"/>
    </w:pPr>
    <w:rPr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3293"/>
    <w:pPr>
      <w:keepNext/>
      <w:keepLines/>
      <w:spacing w:before="240" w:after="120"/>
      <w:outlineLvl w:val="1"/>
    </w:pPr>
    <w:rPr>
      <w:b/>
      <w:bCs/>
      <w:color w:val="007DA3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32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3294"/>
  </w:style>
  <w:style w:type="paragraph" w:styleId="Footer">
    <w:name w:val="footer"/>
    <w:basedOn w:val="Normal"/>
    <w:link w:val="FooterChar"/>
    <w:uiPriority w:val="99"/>
    <w:unhideWhenUsed/>
    <w:rsid w:val="002132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3294"/>
  </w:style>
  <w:style w:type="paragraph" w:styleId="ListParagraph">
    <w:name w:val="List Paragraph"/>
    <w:basedOn w:val="Normal"/>
    <w:uiPriority w:val="34"/>
    <w:qFormat/>
    <w:rsid w:val="00440EFD"/>
    <w:pPr>
      <w:numPr>
        <w:numId w:val="27"/>
      </w:numPr>
      <w:spacing w:after="60"/>
      <w:ind w:left="360"/>
    </w:pPr>
  </w:style>
  <w:style w:type="table" w:styleId="TableGrid">
    <w:name w:val="Table Grid"/>
    <w:basedOn w:val="TableNormal"/>
    <w:uiPriority w:val="39"/>
    <w:rsid w:val="000618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7E5E9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E5E9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E5E9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7E5E9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E5E9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E5E96"/>
    <w:rPr>
      <w:vertAlign w:val="superscript"/>
    </w:rPr>
  </w:style>
  <w:style w:type="paragraph" w:customStyle="1" w:styleId="FooterText">
    <w:name w:val="Footer Text"/>
    <w:link w:val="FooterTextChar"/>
    <w:qFormat/>
    <w:rsid w:val="00C230AB"/>
    <w:rPr>
      <w:rFonts w:ascii="Calibri" w:eastAsia="Calibri" w:hAnsi="Calibri" w:cs="Times New Roman"/>
      <w:bCs/>
      <w:sz w:val="20"/>
      <w:szCs w:val="20"/>
      <w:lang w:bidi="en-US"/>
    </w:rPr>
  </w:style>
  <w:style w:type="character" w:customStyle="1" w:styleId="FooterTextChar">
    <w:name w:val="Footer Text Char"/>
    <w:basedOn w:val="DefaultParagraphFont"/>
    <w:link w:val="FooterText"/>
    <w:rsid w:val="00C230AB"/>
    <w:rPr>
      <w:rFonts w:ascii="Calibri" w:eastAsia="Calibri" w:hAnsi="Calibri" w:cs="Times New Roman"/>
      <w:bCs/>
      <w:sz w:val="20"/>
      <w:szCs w:val="20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7C32EA"/>
    <w:rPr>
      <w:rFonts w:cstheme="minorHAnsi"/>
      <w:b/>
      <w:bCs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A3293"/>
    <w:rPr>
      <w:rFonts w:cstheme="minorHAnsi"/>
      <w:b/>
      <w:bCs/>
      <w:color w:val="007DA3"/>
      <w:sz w:val="28"/>
    </w:rPr>
  </w:style>
  <w:style w:type="paragraph" w:styleId="Title">
    <w:name w:val="Title"/>
    <w:basedOn w:val="Header"/>
    <w:next w:val="Normal"/>
    <w:link w:val="TitleChar"/>
    <w:uiPriority w:val="10"/>
    <w:qFormat/>
    <w:rsid w:val="00DE0575"/>
    <w:pPr>
      <w:tabs>
        <w:tab w:val="clear" w:pos="4680"/>
        <w:tab w:val="clear" w:pos="9360"/>
        <w:tab w:val="center" w:pos="5400"/>
        <w:tab w:val="right" w:pos="10800"/>
      </w:tabs>
      <w:spacing w:before="120"/>
      <w:ind w:left="1296" w:right="1440"/>
      <w:jc w:val="center"/>
    </w:pPr>
    <w:rPr>
      <w:b/>
      <w:bCs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0575"/>
    <w:rPr>
      <w:rFonts w:cstheme="minorHAnsi"/>
      <w:b/>
      <w:bCs/>
      <w:sz w:val="44"/>
      <w:szCs w:val="56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AF52EB"/>
    <w:pPr>
      <w:jc w:val="center"/>
    </w:pPr>
    <w:rPr>
      <w:sz w:val="36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F52EB"/>
    <w:rPr>
      <w:rFonts w:cstheme="minorHAnsi"/>
      <w:b/>
      <w:bCs/>
      <w:sz w:val="36"/>
      <w:szCs w:val="40"/>
    </w:rPr>
  </w:style>
  <w:style w:type="paragraph" w:customStyle="1" w:styleId="RefList">
    <w:name w:val="Ref List"/>
    <w:basedOn w:val="EndnoteText"/>
    <w:link w:val="RefListChar"/>
    <w:qFormat/>
    <w:rsid w:val="00402F58"/>
    <w:pPr>
      <w:numPr>
        <w:numId w:val="25"/>
      </w:numPr>
      <w:spacing w:after="120"/>
      <w:ind w:left="360"/>
    </w:pPr>
    <w:rPr>
      <w:sz w:val="24"/>
      <w:szCs w:val="24"/>
    </w:rPr>
  </w:style>
  <w:style w:type="character" w:customStyle="1" w:styleId="RefListChar">
    <w:name w:val="Ref List Char"/>
    <w:basedOn w:val="EndnoteTextChar"/>
    <w:link w:val="RefList"/>
    <w:rsid w:val="00402F58"/>
    <w:rPr>
      <w:rFonts w:cstheme="minorHAnsi"/>
      <w:sz w:val="20"/>
      <w:szCs w:val="20"/>
    </w:rPr>
  </w:style>
  <w:style w:type="paragraph" w:customStyle="1" w:styleId="paragraph">
    <w:name w:val="paragraph"/>
    <w:basedOn w:val="Normal"/>
    <w:rsid w:val="00A16253"/>
    <w:pPr>
      <w:spacing w:before="100" w:beforeAutospacing="1" w:after="100" w:afterAutospacing="1"/>
    </w:pPr>
    <w:rPr>
      <w:rFonts w:ascii="Times New Roman" w:eastAsia="Times New Roman" w:hAnsi="Times New Roman" w:cs="Times New Roman"/>
      <w:sz w:val="22"/>
    </w:rPr>
  </w:style>
  <w:style w:type="character" w:customStyle="1" w:styleId="normaltextrun">
    <w:name w:val="normaltextrun"/>
    <w:basedOn w:val="DefaultParagraphFont"/>
    <w:rsid w:val="00A16253"/>
  </w:style>
  <w:style w:type="character" w:customStyle="1" w:styleId="singleunderline">
    <w:name w:val="singleunderline"/>
    <w:basedOn w:val="DefaultParagraphFont"/>
    <w:rsid w:val="00A16253"/>
  </w:style>
  <w:style w:type="character" w:customStyle="1" w:styleId="scxp134018987">
    <w:name w:val="scxp134018987"/>
    <w:basedOn w:val="DefaultParagraphFont"/>
    <w:rsid w:val="00A16253"/>
  </w:style>
  <w:style w:type="character" w:styleId="CommentReference">
    <w:name w:val="annotation reference"/>
    <w:basedOn w:val="DefaultParagraphFont"/>
    <w:uiPriority w:val="99"/>
    <w:semiHidden/>
    <w:unhideWhenUsed/>
    <w:rsid w:val="001F31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F319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F3190"/>
    <w:rPr>
      <w:rFonts w:cs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31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3190"/>
    <w:rPr>
      <w:rFonts w:cstheme="minorHAns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B3EFD"/>
    <w:rPr>
      <w:rFonts w:cs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13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4633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3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31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AHRQ MRSA">
      <a:dk1>
        <a:sysClr val="windowText" lastClr="000000"/>
      </a:dk1>
      <a:lt1>
        <a:sysClr val="window" lastClr="FFFFFF"/>
      </a:lt1>
      <a:dk2>
        <a:srgbClr val="757575"/>
      </a:dk2>
      <a:lt2>
        <a:srgbClr val="E7E6E6"/>
      </a:lt2>
      <a:accent1>
        <a:srgbClr val="007DA3"/>
      </a:accent1>
      <a:accent2>
        <a:srgbClr val="FAD701"/>
      </a:accent2>
      <a:accent3>
        <a:srgbClr val="FCF1DD"/>
      </a:accent3>
      <a:accent4>
        <a:srgbClr val="F48154"/>
      </a:accent4>
      <a:accent5>
        <a:srgbClr val="086354"/>
      </a:accent5>
      <a:accent6>
        <a:srgbClr val="E7E6E6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2da5a92-fde4-4366-bfbe-ea92a0a72be0" xsi:nil="true"/>
    <lcf76f155ced4ddcb4097134ff3c332f xmlns="c8af545f-274a-4b06-bd8d-0b1263d3e72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199950A8FBCD4C9C53A7672E6FE3FC" ma:contentTypeVersion="15" ma:contentTypeDescription="Create a new document." ma:contentTypeScope="" ma:versionID="8555fbbb61c74fca00c6962a9032133a">
  <xsd:schema xmlns:xsd="http://www.w3.org/2001/XMLSchema" xmlns:xs="http://www.w3.org/2001/XMLSchema" xmlns:p="http://schemas.microsoft.com/office/2006/metadata/properties" xmlns:ns2="c8af545f-274a-4b06-bd8d-0b1263d3e724" xmlns:ns3="c2da5a92-fde4-4366-bfbe-ea92a0a72be0" targetNamespace="http://schemas.microsoft.com/office/2006/metadata/properties" ma:root="true" ma:fieldsID="a6e4acbd399b4ccfc60f60d381173a17" ns2:_="" ns3:_="">
    <xsd:import namespace="c8af545f-274a-4b06-bd8d-0b1263d3e724"/>
    <xsd:import namespace="c2da5a92-fde4-4366-bfbe-ea92a0a72b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af545f-274a-4b06-bd8d-0b1263d3e7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f7c956-802a-45ac-b2ba-cc78506785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da5a92-fde4-4366-bfbe-ea92a0a72be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865acda-e772-40a2-ae80-e43eb9511a57}" ma:internalName="TaxCatchAll" ma:showField="CatchAllData" ma:web="c2da5a92-fde4-4366-bfbe-ea92a0a72b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85307EF4-5A01-42A0-8FF3-34962B5CFC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F85230-F463-4716-939A-C5296EA864CE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terms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c2da5a92-fde4-4366-bfbe-ea92a0a72be0"/>
    <ds:schemaRef ds:uri="c8af545f-274a-4b06-bd8d-0b1263d3e724"/>
  </ds:schemaRefs>
</ds:datastoreItem>
</file>

<file path=customXml/itemProps3.xml><?xml version="1.0" encoding="utf-8"?>
<ds:datastoreItem xmlns:ds="http://schemas.openxmlformats.org/officeDocument/2006/customXml" ds:itemID="{5BC5D866-4C87-4A49-B26D-27B9BAAEB7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af545f-274a-4b06-bd8d-0b1263d3e724"/>
    <ds:schemaRef ds:uri="c2da5a92-fde4-4366-bfbe-ea92a0a72b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60F6C5-9DAA-4F78-8A23-78B1B9F09D2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58addea-5053-4a80-8499-ba4d944910df}" enabled="0" method="" siteId="{d58addea-5053-4a80-8499-ba4d944910d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Algorithm of Indications for Bacterial Blood Cultures</vt:lpstr>
    </vt:vector>
  </TitlesOfParts>
  <Company/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Algorithm of Indications for Bacterial Blood Cultures</dc:title>
  <dc:subject>MRSA Toolkit</dc:subject>
  <dc:creator>Agency for Healthcare Research &amp; Quality</dc:creator>
  <cp:keywords>MRSA Toolkit</cp:keywords>
  <dc:description/>
  <cp:lastModifiedBy>Ramage, Kathryn (AHRQ/OC) (CTR)</cp:lastModifiedBy>
  <cp:revision>9</cp:revision>
  <cp:lastPrinted>2024-06-07T05:32:00Z</cp:lastPrinted>
  <dcterms:created xsi:type="dcterms:W3CDTF">2026-02-19T17:19:00Z</dcterms:created>
  <dcterms:modified xsi:type="dcterms:W3CDTF">2026-02-19T19:47:00Z</dcterms:modified>
  <cp:category>MRSA Toolkit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0x010100FF199950A8FBCD4C9C53A7672E6FE3FC</vt:lpwstr>
  </property>
  <property fmtid="{D5CDD505-2E9C-101B-9397-08002B2CF9AE}" pid="3" name="MediaServiceImageTags">
    <vt:lpwstr/>
  </property>
</Properties>
</file>