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AAC2" w14:textId="74A3E3C8" w:rsidR="005920B4" w:rsidRPr="001C4AAA" w:rsidRDefault="001C4AAA" w:rsidP="001C4AAA">
      <w:pPr>
        <w:pStyle w:val="Title"/>
        <w:rPr>
          <w:sz w:val="36"/>
          <w:szCs w:val="36"/>
        </w:rPr>
      </w:pPr>
      <w:r w:rsidRPr="001C4AAA">
        <w:rPr>
          <w:sz w:val="36"/>
          <w:szCs w:val="36"/>
        </w:rPr>
        <w:t>Clinical Criteria and Surveillance Definitions of Infections in Nursing Home Residents</w:t>
      </w:r>
    </w:p>
    <w:p w14:paraId="65945FC5" w14:textId="77777777" w:rsidR="00C0771B" w:rsidRDefault="00C0771B" w:rsidP="001C4AAA">
      <w:pPr>
        <w:pStyle w:val="Subtitle"/>
        <w:spacing w:after="60"/>
      </w:pPr>
      <w:r>
        <w:t>AHRQ Safety Program for MRSA Prevention</w:t>
      </w:r>
    </w:p>
    <w:p w14:paraId="21E88E7E" w14:textId="11C4B995" w:rsidR="001C4AAA" w:rsidRPr="004137BF" w:rsidRDefault="001C4AAA" w:rsidP="002A7A98">
      <w:pPr>
        <w:pStyle w:val="BodyText"/>
        <w:spacing w:after="120"/>
        <w:rPr>
          <w:rFonts w:ascii="Calibri" w:eastAsia="Times New Roman" w:hAnsi="Calibri" w:cs="Calibri"/>
          <w:b/>
          <w:i/>
          <w:iCs/>
          <w:noProof/>
          <w:color w:val="000000" w:themeColor="text1"/>
        </w:rPr>
      </w:pPr>
      <w:bookmarkStart w:id="0" w:name="_Hlk181088226"/>
      <w:r w:rsidRPr="00E061AB">
        <w:rPr>
          <w:rFonts w:ascii="Calibri" w:eastAsia="Times New Roman" w:hAnsi="Calibri" w:cs="Calibri"/>
          <w:noProof/>
          <w:color w:val="000000" w:themeColor="text1"/>
        </w:rPr>
        <w:t xml:space="preserve">In nursing homes, two different sets of criteria are used when considering if a resident has an infection. </w:t>
      </w:r>
      <w:r w:rsidR="00EF2702">
        <w:rPr>
          <w:rFonts w:ascii="Calibri" w:eastAsia="Times New Roman" w:hAnsi="Calibri" w:cs="Calibri"/>
          <w:noProof/>
          <w:color w:val="000000" w:themeColor="text1"/>
        </w:rPr>
        <w:t xml:space="preserve">The </w:t>
      </w:r>
      <w:r w:rsidRPr="00E061AB">
        <w:rPr>
          <w:rFonts w:ascii="Calibri" w:eastAsia="Times New Roman" w:hAnsi="Calibri" w:cs="Calibri"/>
          <w:noProof/>
          <w:color w:val="000000" w:themeColor="text1"/>
        </w:rPr>
        <w:t xml:space="preserve">Loeb </w:t>
      </w:r>
      <w:r w:rsidRPr="00E061AB">
        <w:t>Clinical Criteria</w:t>
      </w:r>
      <w:r w:rsidR="00193939">
        <w:rPr>
          <w:vertAlign w:val="superscript"/>
        </w:rPr>
        <w:t>1</w:t>
      </w:r>
      <w:r w:rsidRPr="00E061AB">
        <w:t xml:space="preserve"> are used to guide clinical care of individual residents, including decisions about starting empiric antibiotic therapy. </w:t>
      </w:r>
      <w:r w:rsidR="00EF2702">
        <w:t>The r</w:t>
      </w:r>
      <w:r w:rsidRPr="00E061AB">
        <w:t xml:space="preserve">evised McGeer Surveillance </w:t>
      </w:r>
      <w:r w:rsidR="00EF2702">
        <w:t>Criteria</w:t>
      </w:r>
      <w:r w:rsidR="00301795" w:rsidRPr="00E061AB">
        <w:rPr>
          <w:vertAlign w:val="superscript"/>
        </w:rPr>
        <w:t>2</w:t>
      </w:r>
      <w:r w:rsidR="00EF2702">
        <w:t xml:space="preserve"> are standardized ru</w:t>
      </w:r>
      <w:r w:rsidR="00905E6D">
        <w:t>les and definitions</w:t>
      </w:r>
      <w:r w:rsidRPr="00E061AB">
        <w:t xml:space="preserve"> applied retrospectively to count healthcare-associated infections (HAIs) over time and across healthcare settings. </w:t>
      </w:r>
      <w:r w:rsidR="00647D21">
        <w:t xml:space="preserve">The U.S. Centers for Disease Control and Prevention’s National Healthcare Safety Network </w:t>
      </w:r>
      <w:r w:rsidRPr="00E061AB">
        <w:t xml:space="preserve">surveillance definitions </w:t>
      </w:r>
      <w:r w:rsidR="00A95466">
        <w:t xml:space="preserve">can </w:t>
      </w:r>
      <w:r w:rsidR="00395237">
        <w:t xml:space="preserve">also </w:t>
      </w:r>
      <w:r w:rsidR="00A95466">
        <w:t>be used to count HAIs</w:t>
      </w:r>
      <w:r w:rsidR="00647D21">
        <w:t>,</w:t>
      </w:r>
      <w:r w:rsidRPr="00E061AB">
        <w:t xml:space="preserve"> though</w:t>
      </w:r>
      <w:r w:rsidR="00A95466">
        <w:t xml:space="preserve"> </w:t>
      </w:r>
      <w:r w:rsidR="00395237">
        <w:t>this resource</w:t>
      </w:r>
      <w:r w:rsidR="00A95466">
        <w:t xml:space="preserve"> is</w:t>
      </w:r>
      <w:r w:rsidRPr="00E061AB">
        <w:t xml:space="preserve"> not covered </w:t>
      </w:r>
      <w:r w:rsidR="00395237">
        <w:t>with</w:t>
      </w:r>
      <w:r w:rsidRPr="00E061AB">
        <w:t>in the scope of this document</w:t>
      </w:r>
      <w:r w:rsidR="00647D21">
        <w:t>.</w:t>
      </w:r>
      <w:r w:rsidRPr="00E061AB">
        <w:rPr>
          <w:vertAlign w:val="superscript"/>
        </w:rPr>
        <w:t>3</w:t>
      </w:r>
      <w:r w:rsidRPr="00E061AB">
        <w:t xml:space="preserve"> This document reviews the differences between clinical criteria used to care for patients and surveillance </w:t>
      </w:r>
      <w:r w:rsidR="00822145">
        <w:t>criteria</w:t>
      </w:r>
      <w:r w:rsidRPr="00E061AB">
        <w:t xml:space="preserve"> used to track HAIs over time.</w:t>
      </w:r>
      <w:bookmarkEnd w:id="0"/>
      <w:r>
        <w:tab/>
      </w:r>
    </w:p>
    <w:tbl>
      <w:tblPr>
        <w:tblpPr w:leftFromText="180" w:rightFromText="180" w:vertAnchor="text" w:tblpXSpec="center" w:tblpY="1"/>
        <w:tblOverlap w:val="never"/>
        <w:tblW w:w="10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75"/>
        <w:gridCol w:w="4410"/>
        <w:gridCol w:w="4404"/>
      </w:tblGrid>
      <w:tr w:rsidR="001C4AAA" w:rsidRPr="00C27123" w14:paraId="28D787B9" w14:textId="77777777" w:rsidTr="002A7A98">
        <w:trPr>
          <w:trHeight w:val="561"/>
        </w:trPr>
        <w:tc>
          <w:tcPr>
            <w:tcW w:w="1975" w:type="dxa"/>
            <w:tcBorders>
              <w:top w:val="single" w:sz="4" w:space="0" w:color="auto"/>
              <w:left w:val="single" w:sz="4" w:space="0" w:color="auto"/>
              <w:bottom w:val="single" w:sz="4" w:space="0" w:color="auto"/>
              <w:right w:val="single" w:sz="4" w:space="0" w:color="auto"/>
            </w:tcBorders>
            <w:shd w:val="clear" w:color="auto" w:fill="007DA3" w:themeFill="accent1"/>
          </w:tcPr>
          <w:p w14:paraId="71AF37D6" w14:textId="77777777" w:rsidR="001C4AAA" w:rsidRPr="00C27123" w:rsidRDefault="001C4AAA" w:rsidP="00822145">
            <w:pPr>
              <w:pStyle w:val="TableParagraph"/>
              <w:ind w:left="0"/>
              <w:rPr>
                <w:rFonts w:asciiTheme="minorHAnsi" w:hAnsiTheme="minorHAnsi" w:cstheme="minorHAnsi"/>
              </w:rPr>
            </w:pPr>
          </w:p>
        </w:tc>
        <w:tc>
          <w:tcPr>
            <w:tcW w:w="4410" w:type="dxa"/>
            <w:tcBorders>
              <w:top w:val="single" w:sz="4" w:space="0" w:color="auto"/>
              <w:left w:val="single" w:sz="4" w:space="0" w:color="auto"/>
              <w:bottom w:val="single" w:sz="4" w:space="0" w:color="auto"/>
              <w:right w:val="single" w:sz="4" w:space="0" w:color="auto"/>
            </w:tcBorders>
            <w:shd w:val="clear" w:color="auto" w:fill="007DA3" w:themeFill="accent1"/>
          </w:tcPr>
          <w:p w14:paraId="69FDF231" w14:textId="4B8595E0" w:rsidR="001C4AAA" w:rsidRPr="00A26D34" w:rsidRDefault="001C4AAA" w:rsidP="00A26D34">
            <w:pPr>
              <w:pStyle w:val="TableParagraph"/>
              <w:spacing w:before="217" w:line="235" w:lineRule="auto"/>
              <w:rPr>
                <w:rFonts w:asciiTheme="minorHAnsi" w:hAnsiTheme="minorHAnsi" w:cstheme="minorHAnsi"/>
                <w:b/>
                <w:bCs/>
                <w:color w:val="FFFFFF" w:themeColor="background1"/>
                <w:w w:val="105"/>
                <w:sz w:val="24"/>
                <w:szCs w:val="24"/>
              </w:rPr>
            </w:pPr>
            <w:r w:rsidRPr="00A26D34">
              <w:rPr>
                <w:rFonts w:asciiTheme="minorHAnsi" w:hAnsiTheme="minorHAnsi" w:cstheme="minorHAnsi"/>
                <w:b/>
                <w:bCs/>
                <w:color w:val="FFFFFF" w:themeColor="background1"/>
                <w:w w:val="105"/>
                <w:sz w:val="24"/>
                <w:szCs w:val="24"/>
              </w:rPr>
              <w:t>Loeb Clinical Criteria</w:t>
            </w:r>
            <w:r w:rsidR="00E061AB" w:rsidRPr="00A26D34">
              <w:rPr>
                <w:rFonts w:asciiTheme="minorHAnsi" w:hAnsiTheme="minorHAnsi" w:cstheme="minorHAnsi"/>
                <w:b/>
                <w:bCs/>
                <w:color w:val="FFFFFF" w:themeColor="background1"/>
                <w:w w:val="105"/>
                <w:sz w:val="24"/>
                <w:szCs w:val="24"/>
                <w:vertAlign w:val="superscript"/>
              </w:rPr>
              <w:t>1</w:t>
            </w:r>
          </w:p>
          <w:p w14:paraId="4E413FE8" w14:textId="77777777" w:rsidR="001C4AAA" w:rsidRPr="00C27123" w:rsidRDefault="001C4AAA" w:rsidP="00822145">
            <w:pPr>
              <w:pStyle w:val="TableParagraph"/>
              <w:spacing w:before="151"/>
              <w:ind w:left="175"/>
              <w:rPr>
                <w:rFonts w:asciiTheme="minorHAnsi" w:hAnsiTheme="minorHAnsi" w:cstheme="minorHAnsi"/>
                <w:b/>
              </w:rPr>
            </w:pPr>
            <w:r>
              <w:rPr>
                <w:rFonts w:asciiTheme="minorHAnsi" w:hAnsiTheme="minorHAnsi" w:cstheme="minorHAnsi"/>
                <w:b/>
                <w:noProof/>
              </w:rPr>
              <w:drawing>
                <wp:inline distT="0" distB="0" distL="0" distR="0" wp14:anchorId="456FA00D" wp14:editId="665BD9D4">
                  <wp:extent cx="914400" cy="914400"/>
                  <wp:effectExtent l="0" t="0" r="0" b="0"/>
                  <wp:docPr id="1245516565" name="Graphic 3" descr="Fe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16565" name="Graphic 1245516565" descr="Fever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4404" w:type="dxa"/>
            <w:tcBorders>
              <w:top w:val="single" w:sz="4" w:space="0" w:color="auto"/>
              <w:left w:val="single" w:sz="4" w:space="0" w:color="auto"/>
              <w:bottom w:val="single" w:sz="4" w:space="0" w:color="auto"/>
              <w:right w:val="single" w:sz="4" w:space="0" w:color="auto"/>
            </w:tcBorders>
            <w:shd w:val="clear" w:color="auto" w:fill="007DA3" w:themeFill="accent1"/>
          </w:tcPr>
          <w:p w14:paraId="383D75A8" w14:textId="5ED392A8" w:rsidR="001C4AAA" w:rsidRPr="002A7A98" w:rsidRDefault="001C4AAA" w:rsidP="00A26D34">
            <w:pPr>
              <w:pStyle w:val="TableParagraph"/>
              <w:spacing w:before="217" w:line="235" w:lineRule="auto"/>
              <w:rPr>
                <w:rFonts w:asciiTheme="minorHAnsi" w:hAnsiTheme="minorHAnsi" w:cstheme="minorHAnsi"/>
                <w:b/>
                <w:sz w:val="24"/>
                <w:szCs w:val="24"/>
                <w:vertAlign w:val="superscript"/>
              </w:rPr>
            </w:pPr>
            <w:r w:rsidRPr="00A26D34">
              <w:rPr>
                <w:rFonts w:asciiTheme="minorHAnsi" w:hAnsiTheme="minorHAnsi" w:cstheme="minorHAnsi"/>
                <w:b/>
                <w:bCs/>
                <w:noProof/>
                <w:color w:val="FFFFFF" w:themeColor="background1"/>
                <w:w w:val="105"/>
                <w:sz w:val="24"/>
                <w:szCs w:val="24"/>
              </w:rPr>
              <w:drawing>
                <wp:anchor distT="0" distB="0" distL="114300" distR="114300" simplePos="0" relativeHeight="251658240" behindDoc="1" locked="0" layoutInCell="1" allowOverlap="1" wp14:anchorId="6CC08250" wp14:editId="30543146">
                  <wp:simplePos x="0" y="0"/>
                  <wp:positionH relativeFrom="column">
                    <wp:posOffset>914400</wp:posOffset>
                  </wp:positionH>
                  <wp:positionV relativeFrom="paragraph">
                    <wp:posOffset>367212</wp:posOffset>
                  </wp:positionV>
                  <wp:extent cx="914400" cy="914400"/>
                  <wp:effectExtent l="0" t="0" r="0" b="0"/>
                  <wp:wrapTight wrapText="bothSides">
                    <wp:wrapPolygon edited="0">
                      <wp:start x="7650" y="900"/>
                      <wp:lineTo x="4050" y="2700"/>
                      <wp:lineTo x="3150" y="4500"/>
                      <wp:lineTo x="3150" y="20250"/>
                      <wp:lineTo x="18000" y="20250"/>
                      <wp:lineTo x="18450" y="5400"/>
                      <wp:lineTo x="17100" y="3150"/>
                      <wp:lineTo x="13500" y="900"/>
                      <wp:lineTo x="7650" y="900"/>
                    </wp:wrapPolygon>
                  </wp:wrapTight>
                  <wp:docPr id="1818123226" name="Graphic 1" descr="Clipboard Mix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23226" name="Graphic 1818123226" descr="Clipboard Mixed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r w:rsidRPr="00A26D34">
              <w:rPr>
                <w:rFonts w:asciiTheme="minorHAnsi" w:hAnsiTheme="minorHAnsi" w:cstheme="minorHAnsi"/>
                <w:b/>
                <w:bCs/>
                <w:color w:val="FFFFFF" w:themeColor="background1"/>
                <w:w w:val="105"/>
                <w:sz w:val="24"/>
                <w:szCs w:val="24"/>
              </w:rPr>
              <w:t>Revised McGeer Surveillance Criteria</w:t>
            </w:r>
            <w:r w:rsidR="00E061AB" w:rsidRPr="00A26D34">
              <w:rPr>
                <w:rFonts w:asciiTheme="minorHAnsi" w:hAnsiTheme="minorHAnsi" w:cstheme="minorHAnsi"/>
                <w:b/>
                <w:bCs/>
                <w:color w:val="FFFFFF" w:themeColor="background1"/>
                <w:w w:val="105"/>
                <w:sz w:val="24"/>
                <w:szCs w:val="24"/>
                <w:vertAlign w:val="superscript"/>
              </w:rPr>
              <w:t>2</w:t>
            </w:r>
          </w:p>
        </w:tc>
      </w:tr>
      <w:tr w:rsidR="001C4AAA" w:rsidRPr="00C27123" w14:paraId="2A1D54E0" w14:textId="77777777" w:rsidTr="00F868D6">
        <w:trPr>
          <w:trHeight w:val="1053"/>
        </w:trPr>
        <w:tc>
          <w:tcPr>
            <w:tcW w:w="1975" w:type="dxa"/>
            <w:tcBorders>
              <w:top w:val="single" w:sz="4" w:space="0" w:color="auto"/>
              <w:left w:val="single" w:sz="4" w:space="0" w:color="auto"/>
              <w:bottom w:val="single" w:sz="4" w:space="0" w:color="auto"/>
              <w:right w:val="single" w:sz="4" w:space="0" w:color="auto"/>
            </w:tcBorders>
          </w:tcPr>
          <w:p w14:paraId="6F7E87F1" w14:textId="77777777" w:rsidR="001C4AAA" w:rsidRPr="002A7A98" w:rsidRDefault="001C4AAA" w:rsidP="00822145">
            <w:pPr>
              <w:pStyle w:val="TableParagraph"/>
              <w:spacing w:before="11"/>
              <w:ind w:left="0"/>
              <w:rPr>
                <w:rFonts w:asciiTheme="minorHAnsi" w:hAnsiTheme="minorHAnsi" w:cstheme="minorHAnsi"/>
                <w:b/>
                <w:sz w:val="24"/>
                <w:szCs w:val="24"/>
              </w:rPr>
            </w:pPr>
          </w:p>
          <w:p w14:paraId="64320A2E" w14:textId="77777777" w:rsidR="001C4AAA" w:rsidRPr="002A7A98" w:rsidRDefault="001C4AAA" w:rsidP="00A26D34">
            <w:pPr>
              <w:pStyle w:val="TableParagraph"/>
              <w:spacing w:before="217" w:line="235" w:lineRule="auto"/>
              <w:rPr>
                <w:rFonts w:asciiTheme="minorHAnsi" w:hAnsiTheme="minorHAnsi" w:cstheme="minorHAnsi"/>
                <w:b/>
                <w:sz w:val="24"/>
                <w:szCs w:val="24"/>
              </w:rPr>
            </w:pPr>
            <w:r w:rsidRPr="00A26D34">
              <w:rPr>
                <w:rFonts w:asciiTheme="minorHAnsi" w:hAnsiTheme="minorHAnsi" w:cstheme="minorHAnsi"/>
                <w:b/>
                <w:bCs/>
                <w:color w:val="231F20"/>
                <w:w w:val="105"/>
                <w:sz w:val="24"/>
                <w:szCs w:val="24"/>
              </w:rPr>
              <w:t>Purpose</w:t>
            </w:r>
          </w:p>
        </w:tc>
        <w:tc>
          <w:tcPr>
            <w:tcW w:w="4410" w:type="dxa"/>
            <w:tcBorders>
              <w:top w:val="single" w:sz="4" w:space="0" w:color="auto"/>
              <w:left w:val="single" w:sz="4" w:space="0" w:color="auto"/>
              <w:bottom w:val="single" w:sz="4" w:space="0" w:color="auto"/>
              <w:right w:val="single" w:sz="4" w:space="0" w:color="auto"/>
            </w:tcBorders>
          </w:tcPr>
          <w:p w14:paraId="6EBD7A9F" w14:textId="1DEBB45A" w:rsidR="001C4AAA" w:rsidRPr="00810A08" w:rsidRDefault="001C4AAA" w:rsidP="00E452C5">
            <w:pPr>
              <w:pStyle w:val="TableParagraph"/>
              <w:spacing w:line="235" w:lineRule="auto"/>
              <w:ind w:left="173" w:right="302"/>
              <w:rPr>
                <w:rFonts w:asciiTheme="minorHAnsi" w:hAnsiTheme="minorHAnsi" w:cstheme="minorBidi"/>
                <w:color w:val="231F20"/>
                <w:w w:val="105"/>
                <w:sz w:val="24"/>
                <w:szCs w:val="24"/>
              </w:rPr>
            </w:pPr>
            <w:r w:rsidRPr="00810A08">
              <w:rPr>
                <w:rFonts w:asciiTheme="minorHAnsi" w:hAnsiTheme="minorHAnsi" w:cstheme="minorBidi"/>
                <w:color w:val="231F20"/>
                <w:w w:val="105"/>
                <w:sz w:val="24"/>
                <w:szCs w:val="24"/>
              </w:rPr>
              <w:t>Patient care</w:t>
            </w:r>
          </w:p>
          <w:p w14:paraId="761625E3" w14:textId="77777777" w:rsidR="001C4AAA" w:rsidRPr="002A7A98" w:rsidRDefault="001C4AAA" w:rsidP="00E452C5">
            <w:pPr>
              <w:pStyle w:val="TableParagraph"/>
              <w:spacing w:before="120" w:line="235" w:lineRule="auto"/>
              <w:ind w:left="173" w:right="302"/>
              <w:rPr>
                <w:rFonts w:asciiTheme="minorHAnsi" w:hAnsiTheme="minorHAnsi" w:cstheme="minorBidi"/>
                <w:sz w:val="24"/>
                <w:szCs w:val="24"/>
              </w:rPr>
            </w:pPr>
            <w:r w:rsidRPr="00810A08">
              <w:rPr>
                <w:rFonts w:asciiTheme="minorHAnsi" w:hAnsiTheme="minorHAnsi" w:cstheme="minorHAnsi"/>
                <w:color w:val="231F20"/>
                <w:w w:val="105"/>
                <w:sz w:val="24"/>
                <w:szCs w:val="24"/>
              </w:rPr>
              <w:t>To guide clinical decision making when caring for a resident who may have an acute infection</w:t>
            </w:r>
            <w:r w:rsidRPr="002A7A98">
              <w:rPr>
                <w:rFonts w:asciiTheme="minorHAnsi" w:hAnsiTheme="minorHAnsi" w:cstheme="minorHAnsi"/>
                <w:color w:val="231F20"/>
                <w:spacing w:val="-14"/>
                <w:w w:val="105"/>
                <w:sz w:val="24"/>
                <w:szCs w:val="24"/>
              </w:rPr>
              <w:t xml:space="preserve">   </w:t>
            </w:r>
          </w:p>
        </w:tc>
        <w:tc>
          <w:tcPr>
            <w:tcW w:w="4404" w:type="dxa"/>
            <w:tcBorders>
              <w:top w:val="single" w:sz="4" w:space="0" w:color="auto"/>
              <w:left w:val="single" w:sz="4" w:space="0" w:color="auto"/>
              <w:bottom w:val="single" w:sz="4" w:space="0" w:color="auto"/>
              <w:right w:val="single" w:sz="4" w:space="0" w:color="auto"/>
            </w:tcBorders>
          </w:tcPr>
          <w:p w14:paraId="4AB866AE" w14:textId="26155D5D" w:rsidR="001C4AAA" w:rsidRPr="00810A08" w:rsidRDefault="001C4AAA" w:rsidP="00E452C5">
            <w:pPr>
              <w:pStyle w:val="TableParagraph"/>
              <w:spacing w:line="235" w:lineRule="auto"/>
              <w:ind w:left="173" w:right="230"/>
              <w:rPr>
                <w:rFonts w:asciiTheme="minorHAnsi" w:hAnsiTheme="minorHAnsi" w:cstheme="minorHAnsi"/>
                <w:color w:val="231F20"/>
                <w:w w:val="105"/>
                <w:sz w:val="24"/>
                <w:szCs w:val="24"/>
              </w:rPr>
            </w:pPr>
            <w:r w:rsidRPr="00810A08">
              <w:rPr>
                <w:rFonts w:asciiTheme="minorHAnsi" w:hAnsiTheme="minorHAnsi" w:cstheme="minorHAnsi"/>
                <w:color w:val="231F20"/>
                <w:w w:val="105"/>
                <w:sz w:val="24"/>
                <w:szCs w:val="24"/>
              </w:rPr>
              <w:t>Track HAIs</w:t>
            </w:r>
          </w:p>
          <w:p w14:paraId="1F480CBC" w14:textId="79FFFA01" w:rsidR="001C4AAA" w:rsidRPr="002A7A98" w:rsidRDefault="001C4AAA" w:rsidP="00E452C5">
            <w:pPr>
              <w:pStyle w:val="TableParagraph"/>
              <w:spacing w:before="120" w:line="235" w:lineRule="auto"/>
              <w:ind w:left="187" w:right="230"/>
              <w:rPr>
                <w:rFonts w:asciiTheme="minorHAnsi" w:hAnsiTheme="minorHAnsi" w:cstheme="minorHAnsi"/>
                <w:sz w:val="24"/>
                <w:szCs w:val="24"/>
              </w:rPr>
            </w:pPr>
            <w:r w:rsidRPr="00810A08">
              <w:rPr>
                <w:rFonts w:asciiTheme="minorHAnsi" w:hAnsiTheme="minorHAnsi" w:cstheme="minorHAnsi"/>
                <w:color w:val="231F20"/>
                <w:spacing w:val="-14"/>
                <w:w w:val="105"/>
                <w:sz w:val="24"/>
                <w:szCs w:val="24"/>
              </w:rPr>
              <w:t xml:space="preserve">To </w:t>
            </w:r>
            <w:r w:rsidRPr="00810A08">
              <w:rPr>
                <w:rFonts w:asciiTheme="minorHAnsi" w:hAnsiTheme="minorHAnsi" w:cstheme="minorHAnsi"/>
                <w:color w:val="231F20"/>
                <w:w w:val="105"/>
                <w:sz w:val="24"/>
                <w:szCs w:val="24"/>
              </w:rPr>
              <w:t>measure number of HAIs at</w:t>
            </w:r>
            <w:r w:rsidR="00193939">
              <w:rPr>
                <w:rFonts w:asciiTheme="minorHAnsi" w:hAnsiTheme="minorHAnsi" w:cstheme="minorHAnsi"/>
                <w:color w:val="231F20"/>
                <w:w w:val="105"/>
                <w:sz w:val="24"/>
                <w:szCs w:val="24"/>
              </w:rPr>
              <w:t xml:space="preserve"> the facility </w:t>
            </w:r>
            <w:proofErr w:type="gramStart"/>
            <w:r w:rsidR="00193939">
              <w:rPr>
                <w:rFonts w:asciiTheme="minorHAnsi" w:hAnsiTheme="minorHAnsi" w:cstheme="minorHAnsi"/>
                <w:color w:val="231F20"/>
                <w:w w:val="105"/>
                <w:sz w:val="24"/>
                <w:szCs w:val="24"/>
              </w:rPr>
              <w:t>in order to</w:t>
            </w:r>
            <w:proofErr w:type="gramEnd"/>
            <w:r w:rsidRPr="00810A08">
              <w:rPr>
                <w:rFonts w:asciiTheme="minorHAnsi" w:hAnsiTheme="minorHAnsi" w:cstheme="minorHAnsi"/>
                <w:color w:val="231F20"/>
                <w:w w:val="105"/>
                <w:sz w:val="24"/>
                <w:szCs w:val="24"/>
              </w:rPr>
              <w:t xml:space="preserve"> estimate </w:t>
            </w:r>
            <w:r w:rsidRPr="00810A08">
              <w:rPr>
                <w:rFonts w:asciiTheme="minorHAnsi" w:hAnsiTheme="minorHAnsi" w:cstheme="minorHAnsi"/>
                <w:color w:val="231F20"/>
                <w:spacing w:val="-5"/>
                <w:w w:val="105"/>
                <w:sz w:val="24"/>
                <w:szCs w:val="24"/>
              </w:rPr>
              <w:t xml:space="preserve">the </w:t>
            </w:r>
            <w:r w:rsidRPr="00810A08">
              <w:rPr>
                <w:rFonts w:asciiTheme="minorHAnsi" w:hAnsiTheme="minorHAnsi" w:cstheme="minorHAnsi"/>
                <w:color w:val="231F20"/>
                <w:w w:val="105"/>
                <w:sz w:val="24"/>
                <w:szCs w:val="24"/>
              </w:rPr>
              <w:t>incidence/prevalence of HAIs over time and a</w:t>
            </w:r>
            <w:r w:rsidR="00193939">
              <w:rPr>
                <w:rFonts w:asciiTheme="minorHAnsi" w:hAnsiTheme="minorHAnsi" w:cstheme="minorHAnsi"/>
                <w:color w:val="231F20"/>
                <w:w w:val="105"/>
                <w:sz w:val="24"/>
                <w:szCs w:val="24"/>
              </w:rPr>
              <w:t>cross</w:t>
            </w:r>
            <w:r w:rsidRPr="00810A08">
              <w:rPr>
                <w:rFonts w:asciiTheme="minorHAnsi" w:hAnsiTheme="minorHAnsi" w:cstheme="minorHAnsi"/>
                <w:color w:val="231F20"/>
                <w:w w:val="105"/>
                <w:sz w:val="24"/>
                <w:szCs w:val="24"/>
              </w:rPr>
              <w:t xml:space="preserve"> facilities</w:t>
            </w:r>
          </w:p>
        </w:tc>
      </w:tr>
      <w:tr w:rsidR="001C4AAA" w:rsidRPr="00C27123" w14:paraId="6CA0EFD4" w14:textId="77777777" w:rsidTr="00E452C5">
        <w:trPr>
          <w:trHeight w:val="1612"/>
        </w:trPr>
        <w:tc>
          <w:tcPr>
            <w:tcW w:w="1975" w:type="dxa"/>
            <w:tcBorders>
              <w:top w:val="single" w:sz="4" w:space="0" w:color="auto"/>
              <w:left w:val="single" w:sz="4" w:space="0" w:color="auto"/>
              <w:bottom w:val="single" w:sz="4" w:space="0" w:color="auto"/>
              <w:right w:val="single" w:sz="4" w:space="0" w:color="auto"/>
            </w:tcBorders>
            <w:shd w:val="clear" w:color="auto" w:fill="D5F5FF"/>
          </w:tcPr>
          <w:p w14:paraId="424DE147" w14:textId="77777777" w:rsidR="001C4AAA" w:rsidRPr="002A7A98" w:rsidRDefault="001C4AAA" w:rsidP="00822145">
            <w:pPr>
              <w:pStyle w:val="TableParagraph"/>
              <w:ind w:left="0"/>
              <w:rPr>
                <w:rFonts w:asciiTheme="minorHAnsi" w:hAnsiTheme="minorHAnsi" w:cstheme="minorHAnsi"/>
                <w:b/>
                <w:sz w:val="24"/>
                <w:szCs w:val="24"/>
              </w:rPr>
            </w:pPr>
          </w:p>
          <w:p w14:paraId="40C83AB5" w14:textId="77777777" w:rsidR="001C4AAA" w:rsidRPr="002A7A98" w:rsidRDefault="001C4AAA" w:rsidP="00822145">
            <w:pPr>
              <w:pStyle w:val="TableParagraph"/>
              <w:ind w:left="0"/>
              <w:rPr>
                <w:rFonts w:asciiTheme="minorHAnsi" w:hAnsiTheme="minorHAnsi" w:cstheme="minorHAnsi"/>
                <w:b/>
                <w:sz w:val="24"/>
                <w:szCs w:val="24"/>
              </w:rPr>
            </w:pPr>
          </w:p>
          <w:p w14:paraId="5C810A65" w14:textId="77777777" w:rsidR="001C4AAA" w:rsidRPr="002A7A98" w:rsidRDefault="001C4AAA" w:rsidP="00822145">
            <w:pPr>
              <w:pStyle w:val="TableParagraph"/>
              <w:spacing w:before="1"/>
              <w:ind w:left="0"/>
              <w:rPr>
                <w:rFonts w:asciiTheme="minorHAnsi" w:hAnsiTheme="minorHAnsi" w:cstheme="minorHAnsi"/>
                <w:b/>
                <w:sz w:val="24"/>
                <w:szCs w:val="24"/>
              </w:rPr>
            </w:pPr>
          </w:p>
          <w:p w14:paraId="5D7899F5" w14:textId="77777777" w:rsidR="001C4AAA" w:rsidRPr="002A7A98" w:rsidRDefault="001C4AAA" w:rsidP="00A26D34">
            <w:pPr>
              <w:pStyle w:val="TableParagraph"/>
              <w:spacing w:before="217" w:line="235" w:lineRule="auto"/>
              <w:rPr>
                <w:rFonts w:asciiTheme="minorHAnsi" w:hAnsiTheme="minorHAnsi" w:cstheme="minorHAnsi"/>
                <w:b/>
                <w:sz w:val="24"/>
                <w:szCs w:val="24"/>
              </w:rPr>
            </w:pPr>
            <w:r w:rsidRPr="00A26D34">
              <w:rPr>
                <w:rFonts w:asciiTheme="minorHAnsi" w:hAnsiTheme="minorHAnsi" w:cstheme="minorHAnsi"/>
                <w:b/>
                <w:bCs/>
                <w:color w:val="231F20"/>
                <w:w w:val="105"/>
                <w:sz w:val="24"/>
                <w:szCs w:val="24"/>
              </w:rPr>
              <w:t>Data needed to apply the criteria</w:t>
            </w:r>
          </w:p>
        </w:tc>
        <w:tc>
          <w:tcPr>
            <w:tcW w:w="4410" w:type="dxa"/>
            <w:tcBorders>
              <w:top w:val="single" w:sz="4" w:space="0" w:color="auto"/>
              <w:left w:val="single" w:sz="4" w:space="0" w:color="auto"/>
              <w:bottom w:val="single" w:sz="4" w:space="0" w:color="auto"/>
              <w:right w:val="single" w:sz="4" w:space="0" w:color="auto"/>
            </w:tcBorders>
            <w:shd w:val="clear" w:color="auto" w:fill="D5F5FF"/>
          </w:tcPr>
          <w:p w14:paraId="76B740F7" w14:textId="77777777" w:rsidR="001C4AAA" w:rsidRPr="002A7A98" w:rsidRDefault="001C4AAA" w:rsidP="000C661A">
            <w:pPr>
              <w:pStyle w:val="TableParagraph"/>
              <w:spacing w:before="120" w:line="235" w:lineRule="auto"/>
              <w:ind w:left="173" w:right="202"/>
              <w:rPr>
                <w:rFonts w:asciiTheme="minorHAnsi" w:hAnsiTheme="minorHAnsi" w:cstheme="minorHAnsi"/>
                <w:color w:val="231F20"/>
                <w:w w:val="105"/>
                <w:sz w:val="24"/>
                <w:szCs w:val="24"/>
              </w:rPr>
            </w:pPr>
            <w:r w:rsidRPr="002A7A98">
              <w:rPr>
                <w:rFonts w:asciiTheme="minorHAnsi" w:hAnsiTheme="minorHAnsi" w:cstheme="minorHAnsi"/>
                <w:color w:val="231F20"/>
                <w:w w:val="105"/>
                <w:sz w:val="24"/>
                <w:szCs w:val="24"/>
              </w:rPr>
              <w:t xml:space="preserve">Signs and </w:t>
            </w:r>
            <w:r w:rsidRPr="002A7A98">
              <w:rPr>
                <w:rFonts w:asciiTheme="minorHAnsi" w:hAnsiTheme="minorHAnsi" w:cstheme="minorHAnsi"/>
                <w:color w:val="231F20"/>
                <w:spacing w:val="-3"/>
                <w:w w:val="105"/>
                <w:sz w:val="24"/>
                <w:szCs w:val="24"/>
              </w:rPr>
              <w:t xml:space="preserve">symptoms </w:t>
            </w:r>
            <w:r w:rsidRPr="002A7A98">
              <w:rPr>
                <w:rFonts w:asciiTheme="minorHAnsi" w:hAnsiTheme="minorHAnsi" w:cstheme="minorHAnsi"/>
                <w:color w:val="231F20"/>
                <w:w w:val="105"/>
                <w:sz w:val="24"/>
                <w:szCs w:val="24"/>
              </w:rPr>
              <w:t>noted during the episode of care</w:t>
            </w:r>
          </w:p>
          <w:p w14:paraId="6F443252" w14:textId="77777777" w:rsidR="001C4AAA" w:rsidRPr="00810A08" w:rsidRDefault="001C4AAA" w:rsidP="00D53FBC">
            <w:pPr>
              <w:pStyle w:val="TableParagraph"/>
              <w:numPr>
                <w:ilvl w:val="0"/>
                <w:numId w:val="18"/>
              </w:numPr>
              <w:spacing w:before="120" w:line="235" w:lineRule="auto"/>
              <w:ind w:left="504" w:right="202"/>
              <w:rPr>
                <w:rFonts w:asciiTheme="minorHAnsi" w:hAnsiTheme="minorHAnsi" w:cstheme="minorHAnsi"/>
                <w:color w:val="231F20"/>
                <w:w w:val="105"/>
                <w:sz w:val="24"/>
                <w:szCs w:val="24"/>
              </w:rPr>
            </w:pPr>
            <w:r w:rsidRPr="00810A08">
              <w:rPr>
                <w:rFonts w:asciiTheme="minorHAnsi" w:hAnsiTheme="minorHAnsi" w:cstheme="minorHAnsi"/>
                <w:color w:val="231F20"/>
                <w:w w:val="105"/>
                <w:sz w:val="24"/>
                <w:szCs w:val="24"/>
              </w:rPr>
              <w:t>Symptoms are reported by the resident</w:t>
            </w:r>
          </w:p>
          <w:p w14:paraId="264B77E4" w14:textId="77777777" w:rsidR="001C4AAA" w:rsidRPr="00810A08" w:rsidRDefault="001C4AAA" w:rsidP="00D53FBC">
            <w:pPr>
              <w:pStyle w:val="TableParagraph"/>
              <w:numPr>
                <w:ilvl w:val="0"/>
                <w:numId w:val="18"/>
              </w:numPr>
              <w:spacing w:before="120" w:line="235" w:lineRule="auto"/>
              <w:ind w:left="504" w:right="202"/>
              <w:rPr>
                <w:rFonts w:asciiTheme="minorHAnsi" w:hAnsiTheme="minorHAnsi" w:cstheme="minorHAnsi"/>
                <w:color w:val="231F20"/>
                <w:w w:val="105"/>
                <w:sz w:val="24"/>
                <w:szCs w:val="24"/>
              </w:rPr>
            </w:pPr>
            <w:r w:rsidRPr="00810A08">
              <w:rPr>
                <w:rFonts w:asciiTheme="minorHAnsi" w:hAnsiTheme="minorHAnsi" w:cstheme="minorHAnsi"/>
                <w:color w:val="231F20"/>
                <w:w w:val="105"/>
                <w:sz w:val="24"/>
                <w:szCs w:val="24"/>
              </w:rPr>
              <w:t>Signs are observed during assessment or clinical examination</w:t>
            </w:r>
          </w:p>
          <w:p w14:paraId="3843224C" w14:textId="77777777" w:rsidR="001C4AAA" w:rsidRPr="002A7A98" w:rsidRDefault="001C4AAA" w:rsidP="00E452C5">
            <w:pPr>
              <w:pStyle w:val="TableParagraph"/>
              <w:spacing w:before="120" w:line="235" w:lineRule="auto"/>
              <w:ind w:left="173" w:right="202"/>
              <w:rPr>
                <w:rFonts w:asciiTheme="minorHAnsi" w:hAnsiTheme="minorHAnsi" w:cstheme="minorHAnsi"/>
                <w:color w:val="231F20"/>
                <w:w w:val="105"/>
                <w:sz w:val="24"/>
                <w:szCs w:val="24"/>
              </w:rPr>
            </w:pPr>
            <w:r w:rsidRPr="002A7A98">
              <w:rPr>
                <w:rFonts w:asciiTheme="minorHAnsi" w:hAnsiTheme="minorHAnsi" w:cstheme="minorHAnsi"/>
                <w:b/>
                <w:bCs/>
                <w:color w:val="231F20"/>
                <w:w w:val="105"/>
                <w:sz w:val="24"/>
                <w:szCs w:val="24"/>
              </w:rPr>
              <w:t>Localizing</w:t>
            </w:r>
            <w:r w:rsidRPr="002A7A98">
              <w:rPr>
                <w:rFonts w:asciiTheme="minorHAnsi" w:hAnsiTheme="minorHAnsi" w:cstheme="minorHAnsi"/>
                <w:color w:val="231F20"/>
                <w:w w:val="105"/>
                <w:sz w:val="24"/>
                <w:szCs w:val="24"/>
              </w:rPr>
              <w:t xml:space="preserve"> signs and symptoms indicate a specific syndrome. </w:t>
            </w:r>
          </w:p>
          <w:p w14:paraId="0287877E" w14:textId="2E7C6007" w:rsidR="001C4AAA" w:rsidRPr="002A7A98" w:rsidRDefault="001C4AAA" w:rsidP="00E452C5">
            <w:pPr>
              <w:pStyle w:val="TableParagraph"/>
              <w:spacing w:before="120" w:line="235" w:lineRule="auto"/>
              <w:ind w:left="173" w:right="202"/>
              <w:rPr>
                <w:rFonts w:asciiTheme="minorHAnsi" w:hAnsiTheme="minorHAnsi" w:cstheme="minorHAnsi"/>
                <w:color w:val="231F20"/>
                <w:w w:val="105"/>
                <w:sz w:val="24"/>
                <w:szCs w:val="24"/>
                <w:vertAlign w:val="superscript"/>
              </w:rPr>
            </w:pPr>
            <w:proofErr w:type="spellStart"/>
            <w:r w:rsidRPr="002A7A98">
              <w:rPr>
                <w:rFonts w:asciiTheme="minorHAnsi" w:hAnsiTheme="minorHAnsi" w:cstheme="minorHAnsi"/>
                <w:b/>
                <w:bCs/>
                <w:color w:val="231F20"/>
                <w:w w:val="105"/>
                <w:sz w:val="24"/>
                <w:szCs w:val="24"/>
              </w:rPr>
              <w:t>Nonlocalizing</w:t>
            </w:r>
            <w:proofErr w:type="spellEnd"/>
            <w:r w:rsidRPr="002A7A98">
              <w:rPr>
                <w:rFonts w:asciiTheme="minorHAnsi" w:hAnsiTheme="minorHAnsi" w:cstheme="minorHAnsi"/>
                <w:color w:val="231F20"/>
                <w:w w:val="105"/>
                <w:sz w:val="24"/>
                <w:szCs w:val="24"/>
              </w:rPr>
              <w:t xml:space="preserve"> signs and symptoms that should prompt further evaluation for infection include fever, new hypotension, or delirium identified using the confusion assessment method (CAM)</w:t>
            </w:r>
            <w:r w:rsidRPr="002A7A98">
              <w:rPr>
                <w:rFonts w:asciiTheme="minorHAnsi" w:hAnsiTheme="minorHAnsi" w:cstheme="minorHAnsi"/>
                <w:color w:val="231F20"/>
                <w:w w:val="105"/>
                <w:sz w:val="24"/>
                <w:szCs w:val="24"/>
                <w:vertAlign w:val="superscript"/>
              </w:rPr>
              <w:t>4</w:t>
            </w:r>
          </w:p>
          <w:p w14:paraId="2465A3FF" w14:textId="747CB3F2" w:rsidR="001C4AAA" w:rsidRPr="002A7A98" w:rsidRDefault="001C4AAA" w:rsidP="00E452C5">
            <w:pPr>
              <w:pStyle w:val="TableParagraph"/>
              <w:spacing w:before="120" w:line="235" w:lineRule="auto"/>
              <w:ind w:left="173" w:right="202"/>
              <w:rPr>
                <w:sz w:val="24"/>
                <w:szCs w:val="24"/>
              </w:rPr>
            </w:pPr>
            <w:proofErr w:type="spellStart"/>
            <w:r w:rsidRPr="002A7A98">
              <w:rPr>
                <w:rFonts w:asciiTheme="minorHAnsi" w:hAnsiTheme="minorHAnsi" w:cstheme="minorHAnsi"/>
                <w:color w:val="231F20"/>
                <w:w w:val="105"/>
                <w:sz w:val="24"/>
                <w:szCs w:val="24"/>
              </w:rPr>
              <w:t>Nonlocalizing</w:t>
            </w:r>
            <w:proofErr w:type="spellEnd"/>
            <w:r w:rsidRPr="002A7A98">
              <w:rPr>
                <w:rFonts w:asciiTheme="minorHAnsi" w:hAnsiTheme="minorHAnsi" w:cstheme="minorHAnsi"/>
                <w:color w:val="231F20"/>
                <w:w w:val="105"/>
                <w:sz w:val="24"/>
                <w:szCs w:val="24"/>
              </w:rPr>
              <w:t xml:space="preserve"> signs and symptoms that should NOT prompt further evaluation for infection include behavioral changes </w:t>
            </w:r>
            <w:r w:rsidRPr="00193939">
              <w:rPr>
                <w:rFonts w:asciiTheme="minorHAnsi" w:hAnsiTheme="minorHAnsi" w:cstheme="minorHAnsi"/>
                <w:color w:val="231F20"/>
                <w:w w:val="105"/>
                <w:sz w:val="24"/>
                <w:szCs w:val="24"/>
                <w:u w:val="single"/>
              </w:rPr>
              <w:t>exclusive of</w:t>
            </w:r>
            <w:r w:rsidRPr="002A7A98">
              <w:rPr>
                <w:rFonts w:asciiTheme="minorHAnsi" w:hAnsiTheme="minorHAnsi" w:cstheme="minorHAnsi"/>
                <w:color w:val="231F20"/>
                <w:w w:val="105"/>
                <w:sz w:val="24"/>
                <w:szCs w:val="24"/>
              </w:rPr>
              <w:t xml:space="preserve"> delirium, functional decline, falls, and anorexia</w:t>
            </w:r>
          </w:p>
        </w:tc>
        <w:tc>
          <w:tcPr>
            <w:tcW w:w="4404" w:type="dxa"/>
            <w:tcBorders>
              <w:top w:val="single" w:sz="4" w:space="0" w:color="auto"/>
              <w:left w:val="single" w:sz="4" w:space="0" w:color="auto"/>
              <w:bottom w:val="single" w:sz="4" w:space="0" w:color="auto"/>
              <w:right w:val="single" w:sz="4" w:space="0" w:color="auto"/>
            </w:tcBorders>
            <w:shd w:val="clear" w:color="auto" w:fill="D5F5FF"/>
          </w:tcPr>
          <w:p w14:paraId="6A514275" w14:textId="77777777" w:rsidR="001C4AAA" w:rsidRPr="002A7A98" w:rsidRDefault="001C4AAA" w:rsidP="000C661A">
            <w:pPr>
              <w:pStyle w:val="TableParagraph"/>
              <w:tabs>
                <w:tab w:val="left" w:pos="541"/>
              </w:tabs>
              <w:spacing w:before="120" w:line="235" w:lineRule="auto"/>
              <w:ind w:left="173" w:right="792"/>
              <w:rPr>
                <w:rFonts w:asciiTheme="minorHAnsi" w:hAnsiTheme="minorHAnsi" w:cstheme="minorHAnsi"/>
                <w:sz w:val="24"/>
                <w:szCs w:val="24"/>
              </w:rPr>
            </w:pPr>
            <w:r w:rsidRPr="002A7A98">
              <w:rPr>
                <w:rFonts w:asciiTheme="minorHAnsi" w:hAnsiTheme="minorHAnsi" w:cstheme="minorHAnsi"/>
                <w:sz w:val="24"/>
                <w:szCs w:val="24"/>
              </w:rPr>
              <w:t>Clinical and laboratory data obtained from the medical record</w:t>
            </w:r>
          </w:p>
          <w:p w14:paraId="4A6F64A9" w14:textId="77777777" w:rsidR="001C4AAA" w:rsidRPr="002A7A98" w:rsidRDefault="001C4AAA" w:rsidP="00D53FBC">
            <w:pPr>
              <w:pStyle w:val="TableParagraph"/>
              <w:numPr>
                <w:ilvl w:val="0"/>
                <w:numId w:val="20"/>
              </w:numPr>
              <w:tabs>
                <w:tab w:val="left" w:pos="541"/>
              </w:tabs>
              <w:spacing w:before="120" w:line="235" w:lineRule="auto"/>
              <w:ind w:left="504" w:right="792"/>
              <w:rPr>
                <w:rFonts w:asciiTheme="minorHAnsi" w:hAnsiTheme="minorHAnsi" w:cstheme="minorHAnsi"/>
                <w:sz w:val="24"/>
                <w:szCs w:val="24"/>
              </w:rPr>
            </w:pPr>
            <w:r w:rsidRPr="002A7A98">
              <w:rPr>
                <w:rFonts w:asciiTheme="minorHAnsi" w:hAnsiTheme="minorHAnsi" w:cstheme="minorHAnsi"/>
                <w:color w:val="231F20"/>
                <w:w w:val="105"/>
                <w:sz w:val="24"/>
                <w:szCs w:val="24"/>
              </w:rPr>
              <w:t>Documentation indicating the presence or absence of signs and symptoms associated with specific infections</w:t>
            </w:r>
          </w:p>
          <w:p w14:paraId="2E757F49" w14:textId="02CE59D6" w:rsidR="001C4AAA" w:rsidRPr="002A7A98" w:rsidRDefault="001C4AAA" w:rsidP="00D53FBC">
            <w:pPr>
              <w:pStyle w:val="TableParagraph"/>
              <w:numPr>
                <w:ilvl w:val="0"/>
                <w:numId w:val="20"/>
              </w:numPr>
              <w:tabs>
                <w:tab w:val="left" w:pos="541"/>
              </w:tabs>
              <w:spacing w:before="120" w:line="235" w:lineRule="auto"/>
              <w:ind w:left="504" w:right="792"/>
              <w:rPr>
                <w:rFonts w:asciiTheme="minorHAnsi" w:hAnsiTheme="minorHAnsi" w:cstheme="minorHAnsi"/>
                <w:i/>
                <w:sz w:val="24"/>
                <w:szCs w:val="24"/>
              </w:rPr>
            </w:pPr>
            <w:r w:rsidRPr="002A7A98">
              <w:rPr>
                <w:rFonts w:asciiTheme="minorHAnsi" w:hAnsiTheme="minorHAnsi" w:cstheme="minorHAnsi"/>
                <w:color w:val="231F20"/>
                <w:w w:val="105"/>
                <w:sz w:val="24"/>
                <w:szCs w:val="24"/>
              </w:rPr>
              <w:t>Results of diagnostic tests including laboratory, microbiological</w:t>
            </w:r>
            <w:r w:rsidR="00647D21">
              <w:rPr>
                <w:rFonts w:asciiTheme="minorHAnsi" w:hAnsiTheme="minorHAnsi" w:cstheme="minorHAnsi"/>
                <w:color w:val="231F20"/>
                <w:w w:val="105"/>
                <w:sz w:val="24"/>
                <w:szCs w:val="24"/>
              </w:rPr>
              <w:t>,</w:t>
            </w:r>
            <w:r w:rsidRPr="002A7A98">
              <w:rPr>
                <w:rFonts w:asciiTheme="minorHAnsi" w:hAnsiTheme="minorHAnsi" w:cstheme="minorHAnsi"/>
                <w:color w:val="231F20"/>
                <w:w w:val="105"/>
                <w:sz w:val="24"/>
                <w:szCs w:val="24"/>
              </w:rPr>
              <w:t xml:space="preserve"> and imaging studies</w:t>
            </w:r>
          </w:p>
        </w:tc>
      </w:tr>
      <w:tr w:rsidR="001C4AAA" w:rsidRPr="00C27123" w14:paraId="13F09D2F" w14:textId="77777777" w:rsidTr="00F868D6">
        <w:trPr>
          <w:trHeight w:val="1430"/>
        </w:trPr>
        <w:tc>
          <w:tcPr>
            <w:tcW w:w="1975" w:type="dxa"/>
            <w:tcBorders>
              <w:top w:val="single" w:sz="4" w:space="0" w:color="auto"/>
              <w:left w:val="single" w:sz="4" w:space="0" w:color="auto"/>
              <w:bottom w:val="single" w:sz="4" w:space="0" w:color="auto"/>
              <w:right w:val="single" w:sz="4" w:space="0" w:color="auto"/>
            </w:tcBorders>
          </w:tcPr>
          <w:p w14:paraId="751D8FD3" w14:textId="77777777" w:rsidR="001C4AAA" w:rsidRPr="002A7A98" w:rsidRDefault="001C4AAA" w:rsidP="00822145">
            <w:pPr>
              <w:pStyle w:val="TableParagraph"/>
              <w:ind w:left="0"/>
              <w:rPr>
                <w:rFonts w:asciiTheme="minorHAnsi" w:hAnsiTheme="minorHAnsi" w:cstheme="minorHAnsi"/>
                <w:b/>
                <w:sz w:val="24"/>
                <w:szCs w:val="24"/>
              </w:rPr>
            </w:pPr>
          </w:p>
          <w:p w14:paraId="0A237C94" w14:textId="77777777" w:rsidR="001C4AAA" w:rsidRPr="00A26D34" w:rsidRDefault="001C4AAA" w:rsidP="00822145">
            <w:pPr>
              <w:pStyle w:val="TableParagraph"/>
              <w:spacing w:before="217" w:line="235" w:lineRule="auto"/>
              <w:rPr>
                <w:rFonts w:asciiTheme="minorHAnsi" w:hAnsiTheme="minorHAnsi" w:cstheme="minorHAnsi"/>
                <w:b/>
                <w:bCs/>
                <w:sz w:val="24"/>
                <w:szCs w:val="24"/>
              </w:rPr>
            </w:pPr>
            <w:r w:rsidRPr="00A26D34">
              <w:rPr>
                <w:rFonts w:asciiTheme="minorHAnsi" w:hAnsiTheme="minorHAnsi" w:cstheme="minorHAnsi"/>
                <w:b/>
                <w:bCs/>
                <w:color w:val="231F20"/>
                <w:w w:val="105"/>
                <w:sz w:val="24"/>
                <w:szCs w:val="24"/>
              </w:rPr>
              <w:t>When do these criteria apply?</w:t>
            </w:r>
          </w:p>
        </w:tc>
        <w:tc>
          <w:tcPr>
            <w:tcW w:w="4410" w:type="dxa"/>
            <w:tcBorders>
              <w:top w:val="single" w:sz="4" w:space="0" w:color="auto"/>
              <w:left w:val="single" w:sz="4" w:space="0" w:color="auto"/>
              <w:bottom w:val="single" w:sz="4" w:space="0" w:color="auto"/>
              <w:right w:val="single" w:sz="4" w:space="0" w:color="auto"/>
            </w:tcBorders>
          </w:tcPr>
          <w:p w14:paraId="0E6EF50A" w14:textId="77777777" w:rsidR="001C4AAA" w:rsidRPr="002A7A98" w:rsidRDefault="001C4AAA" w:rsidP="00D95935">
            <w:pPr>
              <w:pStyle w:val="TableParagraph"/>
              <w:spacing w:before="120" w:after="240" w:line="235" w:lineRule="auto"/>
              <w:ind w:left="173" w:right="691"/>
              <w:rPr>
                <w:rFonts w:asciiTheme="minorHAnsi" w:hAnsiTheme="minorHAnsi" w:cstheme="minorHAnsi"/>
                <w:sz w:val="24"/>
                <w:szCs w:val="24"/>
              </w:rPr>
            </w:pPr>
            <w:r w:rsidRPr="002A7A98">
              <w:rPr>
                <w:rFonts w:asciiTheme="minorHAnsi" w:hAnsiTheme="minorHAnsi" w:cstheme="minorHAnsi"/>
                <w:color w:val="231F20"/>
                <w:w w:val="105"/>
                <w:sz w:val="24"/>
                <w:szCs w:val="24"/>
              </w:rPr>
              <w:t xml:space="preserve">During the initial clinical assessment of a resident for whom there is a concern for an infection </w:t>
            </w:r>
          </w:p>
        </w:tc>
        <w:tc>
          <w:tcPr>
            <w:tcW w:w="4404" w:type="dxa"/>
            <w:tcBorders>
              <w:top w:val="single" w:sz="4" w:space="0" w:color="auto"/>
              <w:left w:val="single" w:sz="4" w:space="0" w:color="auto"/>
              <w:bottom w:val="single" w:sz="4" w:space="0" w:color="auto"/>
              <w:right w:val="single" w:sz="4" w:space="0" w:color="auto"/>
            </w:tcBorders>
          </w:tcPr>
          <w:p w14:paraId="51BB27BF" w14:textId="6F104F16" w:rsidR="001C4AAA" w:rsidRPr="002A7A98" w:rsidRDefault="001C4AAA" w:rsidP="00D95935">
            <w:pPr>
              <w:pStyle w:val="TableParagraph"/>
              <w:spacing w:before="120" w:line="235" w:lineRule="auto"/>
              <w:ind w:left="187" w:right="403"/>
              <w:rPr>
                <w:rFonts w:asciiTheme="minorHAnsi" w:hAnsiTheme="minorHAnsi" w:cstheme="minorHAnsi"/>
                <w:sz w:val="24"/>
                <w:szCs w:val="24"/>
              </w:rPr>
            </w:pPr>
            <w:r w:rsidRPr="002A7A98">
              <w:rPr>
                <w:rFonts w:asciiTheme="minorHAnsi" w:hAnsiTheme="minorHAnsi" w:cstheme="minorHAnsi"/>
                <w:color w:val="231F20"/>
                <w:w w:val="105"/>
                <w:sz w:val="24"/>
                <w:szCs w:val="24"/>
              </w:rPr>
              <w:t xml:space="preserve">Retrospective </w:t>
            </w:r>
            <w:r w:rsidRPr="002A7A98">
              <w:rPr>
                <w:rFonts w:asciiTheme="minorHAnsi" w:hAnsiTheme="minorHAnsi" w:cstheme="minorHAnsi"/>
                <w:color w:val="231F20"/>
                <w:spacing w:val="-3"/>
                <w:w w:val="105"/>
                <w:sz w:val="24"/>
                <w:szCs w:val="24"/>
              </w:rPr>
              <w:t xml:space="preserve">review </w:t>
            </w:r>
            <w:r w:rsidRPr="002A7A98">
              <w:rPr>
                <w:rFonts w:asciiTheme="minorHAnsi" w:hAnsiTheme="minorHAnsi" w:cstheme="minorHAnsi"/>
                <w:color w:val="231F20"/>
                <w:w w:val="105"/>
                <w:sz w:val="24"/>
                <w:szCs w:val="24"/>
              </w:rPr>
              <w:t xml:space="preserve">of medical records including the outcomes of diagnostic tests </w:t>
            </w:r>
            <w:r w:rsidR="00647D21">
              <w:rPr>
                <w:rFonts w:asciiTheme="minorHAnsi" w:hAnsiTheme="minorHAnsi" w:cstheme="minorHAnsi"/>
                <w:color w:val="231F20"/>
                <w:w w:val="105"/>
                <w:sz w:val="24"/>
                <w:szCs w:val="24"/>
              </w:rPr>
              <w:t>that</w:t>
            </w:r>
            <w:r w:rsidRPr="002A7A98">
              <w:rPr>
                <w:rFonts w:asciiTheme="minorHAnsi" w:hAnsiTheme="minorHAnsi" w:cstheme="minorHAnsi"/>
                <w:color w:val="231F20"/>
                <w:w w:val="105"/>
                <w:sz w:val="24"/>
                <w:szCs w:val="24"/>
              </w:rPr>
              <w:t xml:space="preserve"> often are not available</w:t>
            </w:r>
            <w:r w:rsidRPr="002A7A98">
              <w:rPr>
                <w:rFonts w:asciiTheme="minorHAnsi" w:hAnsiTheme="minorHAnsi" w:cstheme="minorHAnsi"/>
                <w:color w:val="231F20"/>
                <w:spacing w:val="-32"/>
                <w:w w:val="105"/>
                <w:sz w:val="24"/>
                <w:szCs w:val="24"/>
              </w:rPr>
              <w:t xml:space="preserve"> </w:t>
            </w:r>
            <w:r w:rsidRPr="002A7A98">
              <w:rPr>
                <w:rFonts w:asciiTheme="minorHAnsi" w:hAnsiTheme="minorHAnsi" w:cstheme="minorHAnsi"/>
                <w:color w:val="231F20"/>
                <w:w w:val="105"/>
                <w:sz w:val="24"/>
                <w:szCs w:val="24"/>
              </w:rPr>
              <w:t>during</w:t>
            </w:r>
            <w:r w:rsidRPr="002A7A98">
              <w:rPr>
                <w:rFonts w:asciiTheme="minorHAnsi" w:hAnsiTheme="minorHAnsi" w:cstheme="minorHAnsi"/>
                <w:color w:val="231F20"/>
                <w:spacing w:val="-31"/>
                <w:w w:val="105"/>
                <w:sz w:val="24"/>
                <w:szCs w:val="24"/>
              </w:rPr>
              <w:t xml:space="preserve"> </w:t>
            </w:r>
            <w:r w:rsidRPr="002A7A98">
              <w:rPr>
                <w:rFonts w:asciiTheme="minorHAnsi" w:hAnsiTheme="minorHAnsi" w:cstheme="minorHAnsi"/>
                <w:color w:val="231F20"/>
                <w:w w:val="105"/>
                <w:sz w:val="24"/>
                <w:szCs w:val="24"/>
              </w:rPr>
              <w:t>the</w:t>
            </w:r>
            <w:r w:rsidRPr="002A7A98">
              <w:rPr>
                <w:rFonts w:asciiTheme="minorHAnsi" w:hAnsiTheme="minorHAnsi" w:cstheme="minorHAnsi"/>
                <w:color w:val="231F20"/>
                <w:spacing w:val="-32"/>
                <w:w w:val="105"/>
                <w:sz w:val="24"/>
                <w:szCs w:val="24"/>
              </w:rPr>
              <w:t xml:space="preserve"> </w:t>
            </w:r>
            <w:proofErr w:type="gramStart"/>
            <w:r w:rsidRPr="002A7A98">
              <w:rPr>
                <w:rFonts w:asciiTheme="minorHAnsi" w:hAnsiTheme="minorHAnsi" w:cstheme="minorHAnsi"/>
                <w:color w:val="231F20"/>
                <w:w w:val="105"/>
                <w:sz w:val="24"/>
                <w:szCs w:val="24"/>
              </w:rPr>
              <w:t>initial</w:t>
            </w:r>
            <w:r w:rsidRPr="002A7A98">
              <w:rPr>
                <w:rFonts w:asciiTheme="minorHAnsi" w:hAnsiTheme="minorHAnsi" w:cstheme="minorHAnsi"/>
                <w:color w:val="231F20"/>
                <w:spacing w:val="-31"/>
                <w:w w:val="105"/>
                <w:sz w:val="24"/>
                <w:szCs w:val="24"/>
              </w:rPr>
              <w:t xml:space="preserve"> </w:t>
            </w:r>
            <w:r w:rsidR="001650B1">
              <w:rPr>
                <w:rFonts w:asciiTheme="minorHAnsi" w:hAnsiTheme="minorHAnsi" w:cstheme="minorHAnsi"/>
                <w:color w:val="231F20"/>
                <w:spacing w:val="-31"/>
                <w:w w:val="105"/>
                <w:sz w:val="24"/>
                <w:szCs w:val="24"/>
              </w:rPr>
              <w:t xml:space="preserve"> </w:t>
            </w:r>
            <w:r w:rsidRPr="002A7A98">
              <w:rPr>
                <w:rFonts w:asciiTheme="minorHAnsi" w:hAnsiTheme="minorHAnsi" w:cstheme="minorHAnsi"/>
                <w:color w:val="231F20"/>
                <w:w w:val="105"/>
                <w:sz w:val="24"/>
                <w:szCs w:val="24"/>
              </w:rPr>
              <w:t>clinical</w:t>
            </w:r>
            <w:proofErr w:type="gramEnd"/>
            <w:r w:rsidRPr="002A7A98">
              <w:rPr>
                <w:rFonts w:asciiTheme="minorHAnsi" w:hAnsiTheme="minorHAnsi" w:cstheme="minorHAnsi"/>
                <w:color w:val="231F20"/>
                <w:w w:val="105"/>
                <w:sz w:val="24"/>
                <w:szCs w:val="24"/>
              </w:rPr>
              <w:t xml:space="preserve"> assessment</w:t>
            </w:r>
          </w:p>
        </w:tc>
      </w:tr>
      <w:tr w:rsidR="001C4AAA" w:rsidRPr="00C27123" w14:paraId="2F009C0E" w14:textId="77777777" w:rsidTr="00E452C5">
        <w:trPr>
          <w:trHeight w:val="3286"/>
        </w:trPr>
        <w:tc>
          <w:tcPr>
            <w:tcW w:w="1975" w:type="dxa"/>
            <w:tcBorders>
              <w:top w:val="single" w:sz="4" w:space="0" w:color="auto"/>
              <w:left w:val="single" w:sz="4" w:space="0" w:color="auto"/>
              <w:bottom w:val="single" w:sz="4" w:space="0" w:color="auto"/>
              <w:right w:val="single" w:sz="4" w:space="0" w:color="auto"/>
            </w:tcBorders>
            <w:shd w:val="clear" w:color="auto" w:fill="D5F5FF"/>
          </w:tcPr>
          <w:p w14:paraId="10CAE2E7" w14:textId="77777777" w:rsidR="001C4AAA" w:rsidRPr="002A7A98" w:rsidRDefault="001C4AAA" w:rsidP="00822145">
            <w:pPr>
              <w:pStyle w:val="TableParagraph"/>
              <w:ind w:left="0"/>
              <w:rPr>
                <w:rFonts w:asciiTheme="minorHAnsi" w:hAnsiTheme="minorHAnsi" w:cstheme="minorHAnsi"/>
                <w:b/>
                <w:sz w:val="24"/>
                <w:szCs w:val="24"/>
              </w:rPr>
            </w:pPr>
          </w:p>
          <w:p w14:paraId="526F6EB1" w14:textId="77777777" w:rsidR="001C4AAA" w:rsidRPr="002A7A98" w:rsidRDefault="001C4AAA" w:rsidP="00822145">
            <w:pPr>
              <w:pStyle w:val="TableParagraph"/>
              <w:ind w:left="0"/>
              <w:rPr>
                <w:rFonts w:asciiTheme="minorHAnsi" w:hAnsiTheme="minorHAnsi" w:cstheme="minorHAnsi"/>
                <w:b/>
                <w:sz w:val="24"/>
                <w:szCs w:val="24"/>
              </w:rPr>
            </w:pPr>
          </w:p>
          <w:p w14:paraId="17F64DAD" w14:textId="77777777" w:rsidR="001C4AAA" w:rsidRPr="002A7A98" w:rsidRDefault="001C4AAA" w:rsidP="00822145">
            <w:pPr>
              <w:pStyle w:val="TableParagraph"/>
              <w:spacing w:before="9"/>
              <w:ind w:left="0"/>
              <w:rPr>
                <w:rFonts w:asciiTheme="minorHAnsi" w:hAnsiTheme="minorHAnsi" w:cstheme="minorHAnsi"/>
                <w:b/>
                <w:sz w:val="24"/>
                <w:szCs w:val="24"/>
              </w:rPr>
            </w:pPr>
          </w:p>
          <w:p w14:paraId="5F0EA35D" w14:textId="77777777" w:rsidR="001C4AAA" w:rsidRPr="002A7A98" w:rsidRDefault="001C4AAA" w:rsidP="00A26D34">
            <w:pPr>
              <w:pStyle w:val="TableParagraph"/>
              <w:spacing w:before="217" w:line="235" w:lineRule="auto"/>
              <w:rPr>
                <w:rFonts w:asciiTheme="minorHAnsi" w:hAnsiTheme="minorHAnsi" w:cstheme="minorHAnsi"/>
                <w:b/>
                <w:sz w:val="24"/>
                <w:szCs w:val="24"/>
              </w:rPr>
            </w:pPr>
            <w:r w:rsidRPr="00A26D34">
              <w:rPr>
                <w:rFonts w:asciiTheme="minorHAnsi" w:hAnsiTheme="minorHAnsi" w:cstheme="minorHAnsi"/>
                <w:b/>
                <w:bCs/>
                <w:color w:val="231F20"/>
                <w:w w:val="105"/>
                <w:sz w:val="24"/>
                <w:szCs w:val="24"/>
              </w:rPr>
              <w:t>Caveat</w:t>
            </w:r>
          </w:p>
        </w:tc>
        <w:tc>
          <w:tcPr>
            <w:tcW w:w="4410" w:type="dxa"/>
            <w:tcBorders>
              <w:top w:val="single" w:sz="4" w:space="0" w:color="auto"/>
              <w:left w:val="single" w:sz="4" w:space="0" w:color="auto"/>
              <w:bottom w:val="single" w:sz="4" w:space="0" w:color="auto"/>
              <w:right w:val="single" w:sz="4" w:space="0" w:color="auto"/>
            </w:tcBorders>
            <w:shd w:val="clear" w:color="auto" w:fill="D5F5FF"/>
          </w:tcPr>
          <w:p w14:paraId="7C45A363" w14:textId="5EE44F3C" w:rsidR="001C4AAA" w:rsidRPr="00821E7D" w:rsidRDefault="001C4AAA" w:rsidP="00E452C5">
            <w:pPr>
              <w:pStyle w:val="TableParagraph"/>
              <w:spacing w:before="120" w:line="235" w:lineRule="auto"/>
              <w:ind w:left="173" w:right="144"/>
              <w:rPr>
                <w:rFonts w:asciiTheme="minorHAnsi" w:hAnsiTheme="minorHAnsi" w:cstheme="minorHAnsi"/>
                <w:color w:val="231F20"/>
                <w:w w:val="105"/>
                <w:sz w:val="24"/>
                <w:szCs w:val="24"/>
              </w:rPr>
            </w:pPr>
            <w:r w:rsidRPr="002A7A98">
              <w:rPr>
                <w:rFonts w:asciiTheme="minorHAnsi" w:hAnsiTheme="minorHAnsi" w:cstheme="minorHAnsi"/>
                <w:color w:val="231F20"/>
                <w:w w:val="105"/>
                <w:sz w:val="24"/>
                <w:szCs w:val="24"/>
              </w:rPr>
              <w:t xml:space="preserve">Clinical criteria are used to guide initiation of antibiotics for residents with a high likelihood of infection. These </w:t>
            </w:r>
            <w:r w:rsidR="00647D21">
              <w:rPr>
                <w:rFonts w:asciiTheme="minorHAnsi" w:hAnsiTheme="minorHAnsi" w:cstheme="minorHAnsi"/>
                <w:color w:val="231F20"/>
                <w:w w:val="105"/>
                <w:sz w:val="24"/>
                <w:szCs w:val="24"/>
              </w:rPr>
              <w:t xml:space="preserve">criteria </w:t>
            </w:r>
            <w:r w:rsidRPr="002A7A98">
              <w:rPr>
                <w:rFonts w:asciiTheme="minorHAnsi" w:hAnsiTheme="minorHAnsi" w:cstheme="minorHAnsi"/>
                <w:color w:val="231F20"/>
                <w:w w:val="105"/>
                <w:sz w:val="24"/>
                <w:szCs w:val="24"/>
              </w:rPr>
              <w:t>rely on signs and symptoms present when a resident is sick and take into consideration other patient-specific factors, such as comorbid medical conditions and indwelling devices. Some residents may receive an antibiotic that, in retrospect, was not necessary</w:t>
            </w:r>
            <w:r w:rsidR="00647D21">
              <w:rPr>
                <w:rFonts w:asciiTheme="minorHAnsi" w:hAnsiTheme="minorHAnsi" w:cstheme="minorHAnsi"/>
                <w:color w:val="231F20"/>
                <w:w w:val="105"/>
                <w:sz w:val="24"/>
                <w:szCs w:val="24"/>
              </w:rPr>
              <w:t>.</w:t>
            </w:r>
          </w:p>
        </w:tc>
        <w:tc>
          <w:tcPr>
            <w:tcW w:w="4404" w:type="dxa"/>
            <w:tcBorders>
              <w:top w:val="single" w:sz="4" w:space="0" w:color="auto"/>
              <w:left w:val="single" w:sz="4" w:space="0" w:color="auto"/>
              <w:bottom w:val="single" w:sz="4" w:space="0" w:color="auto"/>
              <w:right w:val="single" w:sz="4" w:space="0" w:color="auto"/>
            </w:tcBorders>
            <w:shd w:val="clear" w:color="auto" w:fill="D5F5FF"/>
          </w:tcPr>
          <w:p w14:paraId="169A0D65" w14:textId="5FB6E8B7" w:rsidR="001C4AAA" w:rsidRPr="002A7A98" w:rsidRDefault="001C4AAA" w:rsidP="00D95935">
            <w:pPr>
              <w:pStyle w:val="TableParagraph"/>
              <w:spacing w:before="120" w:line="235" w:lineRule="auto"/>
              <w:ind w:left="187" w:right="187"/>
              <w:rPr>
                <w:rFonts w:asciiTheme="minorHAnsi" w:hAnsiTheme="minorHAnsi" w:cstheme="minorBidi"/>
                <w:sz w:val="24"/>
                <w:szCs w:val="24"/>
              </w:rPr>
            </w:pPr>
            <w:r w:rsidRPr="002A7A98">
              <w:rPr>
                <w:rFonts w:asciiTheme="minorHAnsi" w:hAnsiTheme="minorHAnsi" w:cstheme="minorBidi"/>
                <w:color w:val="231F20"/>
                <w:w w:val="105"/>
                <w:sz w:val="24"/>
                <w:szCs w:val="24"/>
              </w:rPr>
              <w:t xml:space="preserve">Surveillance definitions are used to assure standardized assessments of HAIs over time and across healthcare settings. Not all clinical infections will meet surveillance definitions. Not all infections identified using surveillance definitions will represent a clinical infection.   </w:t>
            </w:r>
          </w:p>
        </w:tc>
      </w:tr>
    </w:tbl>
    <w:p w14:paraId="092EF6CA" w14:textId="79B30857" w:rsidR="00F868D6" w:rsidRPr="00A26D34" w:rsidRDefault="00F868D6" w:rsidP="00BF232B">
      <w:pPr>
        <w:spacing w:before="120"/>
        <w:rPr>
          <w:rFonts w:eastAsia="Times New Roman" w:cs="Calibri"/>
          <w:b/>
          <w:bCs/>
          <w:color w:val="212121"/>
          <w:szCs w:val="22"/>
        </w:rPr>
      </w:pPr>
      <w:bookmarkStart w:id="1" w:name="Loeb_Criteria_are_Designed_for_Clinical_"/>
      <w:bookmarkEnd w:id="1"/>
      <w:r w:rsidRPr="00A26D34">
        <w:rPr>
          <w:rFonts w:eastAsia="Times New Roman" w:cs="Calibri"/>
          <w:b/>
          <w:bCs/>
          <w:color w:val="212121"/>
          <w:szCs w:val="22"/>
        </w:rPr>
        <w:t>References</w:t>
      </w:r>
    </w:p>
    <w:p w14:paraId="69BE50DD" w14:textId="696E25FF" w:rsidR="00F868D6" w:rsidRPr="001C6C76" w:rsidRDefault="00F868D6" w:rsidP="00F868D6">
      <w:pPr>
        <w:pStyle w:val="ListParagraph"/>
        <w:numPr>
          <w:ilvl w:val="0"/>
          <w:numId w:val="19"/>
        </w:numPr>
        <w:spacing w:after="200" w:line="276" w:lineRule="auto"/>
        <w:rPr>
          <w:rFonts w:cs="Calibri"/>
        </w:rPr>
      </w:pPr>
      <w:r w:rsidRPr="00544121">
        <w:rPr>
          <w:rFonts w:eastAsia="Times New Roman" w:cs="Calibri"/>
          <w:color w:val="212121"/>
        </w:rPr>
        <w:t>Loeb M, Bentley DW, Bradley S, et al. Development of minimum criteria for the initiation of antibiotics in residents of long-term-care facilities: results of a consensus conference. Infect Control Hosp Epidemiol. 2001 Feb;22(2):120-4. PMID: 11232875.</w:t>
      </w:r>
      <w:r w:rsidRPr="00544121">
        <w:rPr>
          <w:rFonts w:cs="Calibri"/>
        </w:rPr>
        <w:t xml:space="preserve"> </w:t>
      </w:r>
    </w:p>
    <w:p w14:paraId="453111F1" w14:textId="6B4A5007" w:rsidR="00F868D6" w:rsidRPr="000F3250" w:rsidRDefault="00F868D6" w:rsidP="00F868D6">
      <w:pPr>
        <w:pStyle w:val="ListParagraph"/>
        <w:numPr>
          <w:ilvl w:val="0"/>
          <w:numId w:val="19"/>
        </w:numPr>
        <w:spacing w:after="200" w:line="276" w:lineRule="auto"/>
        <w:rPr>
          <w:rFonts w:cs="Calibri"/>
        </w:rPr>
      </w:pPr>
      <w:r w:rsidRPr="00544121">
        <w:rPr>
          <w:rFonts w:eastAsia="Times New Roman" w:cs="Calibri"/>
          <w:color w:val="212121"/>
        </w:rPr>
        <w:t xml:space="preserve">Stone ND, Ashraf MS, Calder J, et al; Society for Healthcare Epidemiology Long-Term Care Special Interest Group. Surveillance definitions of infections in long-term care facilities: revisiting the McGeer criteria. Infect Control Hosp Epidemiol. 2012 Oct;33(10):965-77. PMID: 22961014. </w:t>
      </w:r>
    </w:p>
    <w:p w14:paraId="068A145C" w14:textId="070A99B6" w:rsidR="00F868D6" w:rsidRPr="001C6C76" w:rsidRDefault="00F868D6" w:rsidP="00F868D6">
      <w:pPr>
        <w:pStyle w:val="ListParagraph"/>
        <w:numPr>
          <w:ilvl w:val="0"/>
          <w:numId w:val="19"/>
        </w:numPr>
        <w:spacing w:after="200" w:line="276" w:lineRule="auto"/>
        <w:rPr>
          <w:rFonts w:cs="Calibri"/>
        </w:rPr>
      </w:pPr>
      <w:r>
        <w:rPr>
          <w:rFonts w:cs="Calibri"/>
        </w:rPr>
        <w:t xml:space="preserve">Centers for Disease Control and Prevention. Long-Term Care Facilities (LTCF) Component. </w:t>
      </w:r>
      <w:hyperlink r:id="rId15" w:history="1">
        <w:r w:rsidRPr="009F69BB">
          <w:rPr>
            <w:rStyle w:val="Hyperlink"/>
            <w:rFonts w:cs="Calibri"/>
          </w:rPr>
          <w:t>https://www.cdc.gov/nhsn/ltc/index.html</w:t>
        </w:r>
      </w:hyperlink>
      <w:r>
        <w:rPr>
          <w:rFonts w:cs="Calibri"/>
        </w:rPr>
        <w:t xml:space="preserve">. Accessed </w:t>
      </w:r>
      <w:r w:rsidR="0085571D">
        <w:rPr>
          <w:rFonts w:cs="Calibri"/>
        </w:rPr>
        <w:t>August 7, 2025</w:t>
      </w:r>
      <w:r>
        <w:rPr>
          <w:rFonts w:cs="Calibri"/>
        </w:rPr>
        <w:t xml:space="preserve">. </w:t>
      </w:r>
    </w:p>
    <w:p w14:paraId="43620200" w14:textId="55616EA4" w:rsidR="00E06CFA" w:rsidRPr="00C553F2" w:rsidRDefault="00E452C5" w:rsidP="00C553F2">
      <w:pPr>
        <w:pStyle w:val="ListParagraph"/>
        <w:numPr>
          <w:ilvl w:val="0"/>
          <w:numId w:val="19"/>
        </w:numPr>
        <w:shd w:val="clear" w:color="auto" w:fill="FFFFFF"/>
        <w:spacing w:after="200" w:line="276" w:lineRule="auto"/>
        <w:rPr>
          <w:rFonts w:eastAsia="Times New Roman" w:cstheme="minorHAnsi"/>
          <w:color w:val="212121"/>
        </w:rPr>
      </w:pPr>
      <w:r w:rsidRPr="00434E81">
        <w:rPr>
          <w:rFonts w:eastAsia="Times New Roman" w:cstheme="minorHAnsi"/>
          <w:noProof/>
          <w:color w:val="212121"/>
        </w:rPr>
        <mc:AlternateContent>
          <mc:Choice Requires="wps">
            <w:drawing>
              <wp:anchor distT="45720" distB="45720" distL="114300" distR="114300" simplePos="0" relativeHeight="251660289" behindDoc="0" locked="0" layoutInCell="1" allowOverlap="1" wp14:anchorId="52683D1F" wp14:editId="4156495C">
                <wp:simplePos x="0" y="0"/>
                <wp:positionH relativeFrom="page">
                  <wp:posOffset>6273800</wp:posOffset>
                </wp:positionH>
                <wp:positionV relativeFrom="paragraph">
                  <wp:posOffset>2155825</wp:posOffset>
                </wp:positionV>
                <wp:extent cx="1403350" cy="1404620"/>
                <wp:effectExtent l="0" t="0" r="0" b="0"/>
                <wp:wrapSquare wrapText="bothSides"/>
                <wp:docPr id="2132390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noFill/>
                        <a:ln w="9525">
                          <a:noFill/>
                          <a:miter lim="800000"/>
                          <a:headEnd/>
                          <a:tailEnd/>
                        </a:ln>
                      </wps:spPr>
                      <wps:txbx>
                        <w:txbxContent>
                          <w:p w14:paraId="3C605F1B" w14:textId="7666310D" w:rsidR="00434E81" w:rsidRDefault="00434E81" w:rsidP="00434E81">
                            <w:pPr>
                              <w:spacing w:after="0"/>
                              <w:jc w:val="right"/>
                              <w:rPr>
                                <w:sz w:val="16"/>
                                <w:szCs w:val="16"/>
                              </w:rPr>
                            </w:pPr>
                            <w:r>
                              <w:rPr>
                                <w:sz w:val="16"/>
                                <w:szCs w:val="16"/>
                              </w:rPr>
                              <w:t>AHRQ Pub. No. 25(26)-0066</w:t>
                            </w:r>
                          </w:p>
                          <w:p w14:paraId="1FFF0CBF" w14:textId="1797155F" w:rsidR="00434E81" w:rsidRPr="00434E81" w:rsidRDefault="00434E81" w:rsidP="00434E81">
                            <w:pPr>
                              <w:spacing w:after="0"/>
                              <w:jc w:val="right"/>
                              <w:rPr>
                                <w:sz w:val="16"/>
                                <w:szCs w:val="16"/>
                              </w:rPr>
                            </w:pPr>
                            <w:r>
                              <w:rPr>
                                <w:sz w:val="16"/>
                                <w:szCs w:val="16"/>
                              </w:rPr>
                              <w:t>October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83D1F" id="_x0000_t202" coordsize="21600,21600" o:spt="202" path="m,l,21600r21600,l21600,xe">
                <v:stroke joinstyle="miter"/>
                <v:path gradientshapeok="t" o:connecttype="rect"/>
              </v:shapetype>
              <v:shape id="Text Box 2" o:spid="_x0000_s1026" type="#_x0000_t202" style="position:absolute;left:0;text-align:left;margin-left:494pt;margin-top:169.75pt;width:110.5pt;height:110.6pt;z-index:251660289;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" filled="f" stroked="f">
                <v:textbox style="mso-fit-shape-to-text:t">
                  <w:txbxContent>
                    <w:p w14:paraId="3C605F1B" w14:textId="7666310D" w:rsidR="00434E81" w:rsidRDefault="00434E81" w:rsidP="00434E81">
                      <w:pPr>
                        <w:spacing w:after="0"/>
                        <w:jc w:val="right"/>
                        <w:rPr>
                          <w:sz w:val="16"/>
                          <w:szCs w:val="16"/>
                        </w:rPr>
                      </w:pPr>
                      <w:r>
                        <w:rPr>
                          <w:sz w:val="16"/>
                          <w:szCs w:val="16"/>
                        </w:rPr>
                        <w:t>AHRQ Pub. No. 25(26)-0066</w:t>
                      </w:r>
                    </w:p>
                    <w:p w14:paraId="1FFF0CBF" w14:textId="1797155F" w:rsidR="00434E81" w:rsidRPr="00434E81" w:rsidRDefault="00434E81" w:rsidP="00434E81">
                      <w:pPr>
                        <w:spacing w:after="0"/>
                        <w:jc w:val="right"/>
                        <w:rPr>
                          <w:sz w:val="16"/>
                          <w:szCs w:val="16"/>
                        </w:rPr>
                      </w:pPr>
                      <w:r>
                        <w:rPr>
                          <w:sz w:val="16"/>
                          <w:szCs w:val="16"/>
                        </w:rPr>
                        <w:t>October 2025</w:t>
                      </w:r>
                    </w:p>
                  </w:txbxContent>
                </v:textbox>
                <w10:wrap type="square" anchorx="page"/>
              </v:shape>
            </w:pict>
          </mc:Fallback>
        </mc:AlternateContent>
      </w:r>
      <w:r w:rsidRPr="00C27123">
        <w:rPr>
          <w:noProof/>
        </w:rPr>
        <mc:AlternateContent>
          <mc:Choice Requires="wpg">
            <w:drawing>
              <wp:anchor distT="0" distB="0" distL="0" distR="0" simplePos="0" relativeHeight="251658241" behindDoc="1" locked="0" layoutInCell="1" allowOverlap="1" wp14:anchorId="12E0C0F8" wp14:editId="1F367BF1">
                <wp:simplePos x="0" y="0"/>
                <wp:positionH relativeFrom="page">
                  <wp:posOffset>501650</wp:posOffset>
                </wp:positionH>
                <wp:positionV relativeFrom="page">
                  <wp:posOffset>7689850</wp:posOffset>
                </wp:positionV>
                <wp:extent cx="5588000" cy="1244600"/>
                <wp:effectExtent l="0" t="0" r="0" b="12700"/>
                <wp:wrapTopAndBottom/>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1244600"/>
                          <a:chOff x="1252" y="356"/>
                          <a:chExt cx="9740" cy="1159"/>
                        </a:xfrm>
                      </wpg:grpSpPr>
                      <wps:wsp>
                        <wps:cNvPr id="3" name="Rectangle 60"/>
                        <wps:cNvSpPr>
                          <a:spLocks noChangeArrowheads="1"/>
                        </wps:cNvSpPr>
                        <wps:spPr bwMode="auto">
                          <a:xfrm>
                            <a:off x="1252" y="365"/>
                            <a:ext cx="9735" cy="394"/>
                          </a:xfrm>
                          <a:prstGeom prst="rect">
                            <a:avLst/>
                          </a:prstGeom>
                          <a:solidFill>
                            <a:srgbClr val="E9F5FF"/>
                          </a:solidFill>
                          <a:ln w="9525">
                            <a:noFill/>
                            <a:miter lim="800000"/>
                            <a:headEnd/>
                            <a:tailEnd/>
                          </a:ln>
                        </wps:spPr>
                        <wps:bodyPr rot="0" vert="horz" wrap="square" lIns="91440" tIns="45720" rIns="91440" bIns="45720" anchor="t" anchorCtr="0" upright="1">
                          <a:noAutofit/>
                        </wps:bodyPr>
                      </wps:wsp>
                      <wps:wsp>
                        <wps:cNvPr id="5" name="Line 61"/>
                        <wps:cNvCnPr>
                          <a:cxnSpLocks noChangeShapeType="1"/>
                        </wps:cNvCnPr>
                        <wps:spPr bwMode="auto">
                          <a:xfrm>
                            <a:off x="1313" y="361"/>
                            <a:ext cx="9674" cy="0"/>
                          </a:xfrm>
                          <a:prstGeom prst="line">
                            <a:avLst/>
                          </a:prstGeom>
                          <a:noFill/>
                          <a:ln w="6096">
                            <a:noFill/>
                            <a:prstDash val="solid"/>
                            <a:round/>
                            <a:headEnd/>
                            <a:tailEnd/>
                          </a:ln>
                          <a:extLst>
                            <a:ext uri="{909E8E84-426E-40DD-AFC4-6F175D3DCCD1}">
                              <a14:hiddenFill xmlns:a14="http://schemas.microsoft.com/office/drawing/2010/main">
                                <a:noFill/>
                              </a14:hiddenFill>
                            </a:ext>
                          </a:extLst>
                        </wps:spPr>
                        <wps:bodyPr/>
                      </wps:wsp>
                      <wps:wsp>
                        <wps:cNvPr id="6" name="Rectangle 62"/>
                        <wps:cNvSpPr>
                          <a:spLocks noChangeArrowheads="1"/>
                        </wps:cNvSpPr>
                        <wps:spPr bwMode="auto">
                          <a:xfrm>
                            <a:off x="1252" y="759"/>
                            <a:ext cx="9735" cy="293"/>
                          </a:xfrm>
                          <a:prstGeom prst="rect">
                            <a:avLst/>
                          </a:prstGeom>
                          <a:solidFill>
                            <a:srgbClr val="E9F5FF"/>
                          </a:solidFill>
                          <a:ln w="9525">
                            <a:noFill/>
                            <a:miter lim="800000"/>
                            <a:headEnd/>
                            <a:tailEnd/>
                          </a:ln>
                        </wps:spPr>
                        <wps:bodyPr rot="0" vert="horz" wrap="square" lIns="91440" tIns="45720" rIns="91440" bIns="45720" anchor="t" anchorCtr="0" upright="1">
                          <a:noAutofit/>
                        </wps:bodyPr>
                      </wps:wsp>
                      <wps:wsp>
                        <wps:cNvPr id="7" name="Rectangle 63"/>
                        <wps:cNvSpPr>
                          <a:spLocks noChangeArrowheads="1"/>
                        </wps:cNvSpPr>
                        <wps:spPr bwMode="auto">
                          <a:xfrm>
                            <a:off x="1252" y="1052"/>
                            <a:ext cx="9735" cy="454"/>
                          </a:xfrm>
                          <a:prstGeom prst="rect">
                            <a:avLst/>
                          </a:prstGeom>
                          <a:solidFill>
                            <a:srgbClr val="E9F5FF"/>
                          </a:solidFill>
                          <a:ln w="9525">
                            <a:noFill/>
                            <a:miter lim="800000"/>
                            <a:headEnd/>
                            <a:tailEnd/>
                          </a:ln>
                        </wps:spPr>
                        <wps:bodyPr rot="0" vert="horz" wrap="square" lIns="91440" tIns="45720" rIns="91440" bIns="45720" anchor="t" anchorCtr="0" upright="1">
                          <a:noAutofit/>
                        </wps:bodyPr>
                      </wps:wsp>
                      <wps:wsp>
                        <wps:cNvPr id="8" name="Line 64"/>
                        <wps:cNvCnPr>
                          <a:cxnSpLocks noChangeShapeType="1"/>
                        </wps:cNvCnPr>
                        <wps:spPr bwMode="auto">
                          <a:xfrm>
                            <a:off x="1313" y="1511"/>
                            <a:ext cx="9674" cy="0"/>
                          </a:xfrm>
                          <a:prstGeom prst="line">
                            <a:avLst/>
                          </a:prstGeom>
                          <a:noFill/>
                          <a:ln w="6096">
                            <a:noFill/>
                            <a:prstDash val="solid"/>
                            <a:round/>
                            <a:headEnd/>
                            <a:tailEnd/>
                          </a:ln>
                          <a:extLst>
                            <a:ext uri="{909E8E84-426E-40DD-AFC4-6F175D3DCCD1}">
                              <a14:hiddenFill xmlns:a14="http://schemas.microsoft.com/office/drawing/2010/main">
                                <a:noFill/>
                              </a14:hiddenFill>
                            </a:ext>
                          </a:extLst>
                        </wps:spPr>
                        <wps:bodyPr/>
                      </wps:wsp>
                      <wps:wsp>
                        <wps:cNvPr id="9" name="Line 65"/>
                        <wps:cNvCnPr>
                          <a:cxnSpLocks noChangeShapeType="1"/>
                        </wps:cNvCnPr>
                        <wps:spPr bwMode="auto">
                          <a:xfrm>
                            <a:off x="1308" y="356"/>
                            <a:ext cx="0" cy="1159"/>
                          </a:xfrm>
                          <a:prstGeom prst="line">
                            <a:avLst/>
                          </a:prstGeom>
                          <a:noFill/>
                          <a:ln w="6096">
                            <a:noFill/>
                            <a:prstDash val="solid"/>
                            <a:round/>
                            <a:headEnd/>
                            <a:tailEnd/>
                          </a:ln>
                          <a:extLst>
                            <a:ext uri="{909E8E84-426E-40DD-AFC4-6F175D3DCCD1}">
                              <a14:hiddenFill xmlns:a14="http://schemas.microsoft.com/office/drawing/2010/main">
                                <a:noFill/>
                              </a14:hiddenFill>
                            </a:ext>
                          </a:extLst>
                        </wps:spPr>
                        <wps:bodyPr/>
                      </wps:wsp>
                      <wps:wsp>
                        <wps:cNvPr id="10" name="Line 66"/>
                        <wps:cNvCnPr>
                          <a:cxnSpLocks noChangeShapeType="1"/>
                        </wps:cNvCnPr>
                        <wps:spPr bwMode="auto">
                          <a:xfrm>
                            <a:off x="10992" y="356"/>
                            <a:ext cx="0" cy="1159"/>
                          </a:xfrm>
                          <a:prstGeom prst="line">
                            <a:avLst/>
                          </a:prstGeom>
                          <a:noFill/>
                          <a:ln w="6096">
                            <a:noFill/>
                            <a:prstDash val="solid"/>
                            <a:round/>
                            <a:headEnd/>
                            <a:tailEnd/>
                          </a:ln>
                          <a:extLst>
                            <a:ext uri="{909E8E84-426E-40DD-AFC4-6F175D3DCCD1}">
                              <a14:hiddenFill xmlns:a14="http://schemas.microsoft.com/office/drawing/2010/main">
                                <a:noFill/>
                              </a14:hiddenFill>
                            </a:ext>
                          </a:extLst>
                        </wps:spPr>
                        <wps:bodyPr/>
                      </wps:wsp>
                      <wps:wsp>
                        <wps:cNvPr id="11" name="Text Box 67"/>
                        <wps:cNvSpPr txBox="1">
                          <a:spLocks noChangeArrowheads="1"/>
                        </wps:cNvSpPr>
                        <wps:spPr bwMode="auto">
                          <a:xfrm>
                            <a:off x="1313" y="385"/>
                            <a:ext cx="9595" cy="1119"/>
                          </a:xfrm>
                          <a:prstGeom prst="rect">
                            <a:avLst/>
                          </a:prstGeom>
                          <a:solidFill>
                            <a:srgbClr val="D5F5FF"/>
                          </a:solidFill>
                          <a:ln w="9525">
                            <a:solidFill>
                              <a:srgbClr val="D5F5FF"/>
                            </a:solidFill>
                            <a:miter lim="800000"/>
                            <a:headEnd/>
                            <a:tailEnd/>
                          </a:ln>
                        </wps:spPr>
                        <wps:txbx>
                          <w:txbxContent>
                            <w:p w14:paraId="0406B868" w14:textId="6B2DB4A3" w:rsidR="00983F09" w:rsidRPr="002E270B" w:rsidRDefault="006D3DC5" w:rsidP="00434E81">
                              <w:pPr>
                                <w:spacing w:before="100" w:after="0"/>
                                <w:ind w:left="90" w:right="432"/>
                                <w:contextualSpacing/>
                                <w:rPr>
                                  <w:sz w:val="20"/>
                                  <w:szCs w:val="20"/>
                                </w:rPr>
                              </w:pPr>
                              <w:r w:rsidRPr="002E270B">
                                <w:rPr>
                                  <w:sz w:val="20"/>
                                  <w:szCs w:val="20"/>
                                </w:rPr>
                                <w:t>Adapted from</w:t>
                              </w:r>
                              <w:r w:rsidR="00983F09" w:rsidRPr="002E270B">
                                <w:rPr>
                                  <w:sz w:val="20"/>
                                  <w:szCs w:val="20"/>
                                </w:rPr>
                                <w:t>:</w:t>
                              </w:r>
                            </w:p>
                            <w:p w14:paraId="10DD277B" w14:textId="2AA6C29F" w:rsidR="00983F09" w:rsidRPr="002E270B" w:rsidRDefault="00983F09" w:rsidP="00434E81">
                              <w:pPr>
                                <w:spacing w:before="100" w:after="0"/>
                                <w:ind w:left="90" w:right="432"/>
                                <w:contextualSpacing/>
                                <w:rPr>
                                  <w:sz w:val="20"/>
                                  <w:szCs w:val="20"/>
                                </w:rPr>
                              </w:pPr>
                              <w:r w:rsidRPr="002E270B">
                                <w:rPr>
                                  <w:sz w:val="20"/>
                                  <w:szCs w:val="20"/>
                                </w:rPr>
                                <w:t xml:space="preserve">Tufts Medical Center. Loeb and Revised McGeer Criteria. September 2023. </w:t>
                              </w:r>
                              <w:hyperlink r:id="rId16" w:history="1">
                                <w:r w:rsidRPr="00983F09">
                                  <w:rPr>
                                    <w:rStyle w:val="Hyperlink"/>
                                    <w:sz w:val="20"/>
                                    <w:szCs w:val="20"/>
                                  </w:rPr>
                                  <w:t>https://infectioncontrolma.org/docs/Loeb-and-Revised-McGeer-Criteria.pdf</w:t>
                                </w:r>
                              </w:hyperlink>
                            </w:p>
                            <w:p w14:paraId="2982AE69" w14:textId="31F55DBB" w:rsidR="006D3DC5" w:rsidRPr="002E270B" w:rsidRDefault="00983F09" w:rsidP="00434E81">
                              <w:pPr>
                                <w:spacing w:before="120" w:after="0"/>
                                <w:ind w:left="90" w:right="432"/>
                                <w:rPr>
                                  <w:sz w:val="20"/>
                                  <w:szCs w:val="20"/>
                                </w:rPr>
                              </w:pPr>
                              <w:r w:rsidRPr="002E270B">
                                <w:rPr>
                                  <w:sz w:val="20"/>
                                  <w:szCs w:val="20"/>
                                </w:rPr>
                                <w:t>Minnesota Department of Health. Healthcare-Associated Infections &amp; Antimicrobial Resistance Unit. Loeb and McGeer Criteria: A Practical Guide for Use in Long-Term Care. June 5, 2019</w:t>
                              </w:r>
                              <w:r>
                                <w:rPr>
                                  <w:sz w:val="20"/>
                                  <w:szCs w:val="20"/>
                                </w:rPr>
                                <w:t>.</w:t>
                              </w:r>
                              <w:r w:rsidR="006D3DC5">
                                <w:rPr>
                                  <w:sz w:val="20"/>
                                  <w:szCs w:val="20"/>
                                </w:rPr>
                                <w:t xml:space="preserve"> </w:t>
                              </w:r>
                              <w:hyperlink r:id="rId17" w:history="1">
                                <w:r w:rsidR="006D3DC5" w:rsidRPr="002E270B">
                                  <w:rPr>
                                    <w:rStyle w:val="Hyperlink"/>
                                    <w:sz w:val="20"/>
                                    <w:szCs w:val="20"/>
                                  </w:rPr>
                                  <w:t>https://www.health.state.mn.us/diseases/antibioticresistance/hcp/asp/ltc/loebmcgeer.pdf</w:t>
                                </w:r>
                              </w:hyperlink>
                              <w:r w:rsidR="006D3DC5" w:rsidRPr="002E270B">
                                <w:rPr>
                                  <w:sz w:val="20"/>
                                  <w:szCs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0C0F8" id="Group 2" o:spid="_x0000_s1027" alt="&quot;&quot;" style="position:absolute;left:0;text-align:left;margin-left:39.5pt;margin-top:605.5pt;width:440pt;height:98pt;z-index:-251658239;mso-wrap-distance-left:0;mso-wrap-distance-right:0;mso-position-horizontal-relative:page;mso-position-vertical-relative:page" coordorigin="1252,356" coordsize="9740,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">
                <v:rect id="Rectangle 60" o:spid="_x0000_s1028" style="position:absolute;left:1252;top:365;width:9735;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" fillcolor="#e9f5ff" stroked="f"/>
                <v:line id="Line 61" o:spid="_x0000_s1029" style="position:absolute;visibility:visible;mso-wrap-style:square" from="1313,361" to="1098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" stroked="f" strokeweight=".48pt"/>
                <v:rect id="Rectangle 62" o:spid="_x0000_s1030" style="position:absolute;left:1252;top:759;width:973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" fillcolor="#e9f5ff" stroked="f"/>
                <v:rect id="Rectangle 63" o:spid="_x0000_s1031" style="position:absolute;left:1252;top:1052;width:973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" fillcolor="#e9f5ff" stroked="f"/>
                <v:line id="Line 64" o:spid="_x0000_s1032" style="position:absolute;visibility:visible;mso-wrap-style:square" from="1313,1511" to="10987,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" stroked="f" strokeweight=".48pt"/>
                <v:line id="Line 65" o:spid="_x0000_s1033" style="position:absolute;visibility:visible;mso-wrap-style:square" from="1308,356" to="1308,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" stroked="f" strokeweight=".48pt"/>
                <v:line id="Line 66" o:spid="_x0000_s1034" style="position:absolute;visibility:visible;mso-wrap-style:square" from="10992,356" to="10992,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" stroked="f" strokeweight=".48pt"/>
                <v:shape id="Text Box 67" o:spid="_x0000_s1035" type="#_x0000_t202" style="position:absolute;left:1313;top:385;width:9595;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" fillcolor="#d5f5ff" strokecolor="#d5f5ff">
                  <v:textbox inset="0,0,0,0">
                    <w:txbxContent>
                      <w:p w14:paraId="0406B868" w14:textId="6B2DB4A3" w:rsidR="00983F09" w:rsidRPr="002E270B" w:rsidRDefault="006D3DC5" w:rsidP="00434E81">
                        <w:pPr>
                          <w:spacing w:before="100" w:after="0"/>
                          <w:ind w:left="90" w:right="432"/>
                          <w:contextualSpacing/>
                          <w:rPr>
                            <w:sz w:val="20"/>
                            <w:szCs w:val="20"/>
                          </w:rPr>
                        </w:pPr>
                        <w:r w:rsidRPr="002E270B">
                          <w:rPr>
                            <w:sz w:val="20"/>
                            <w:szCs w:val="20"/>
                          </w:rPr>
                          <w:t>Adapted from</w:t>
                        </w:r>
                        <w:r w:rsidR="00983F09" w:rsidRPr="002E270B">
                          <w:rPr>
                            <w:sz w:val="20"/>
                            <w:szCs w:val="20"/>
                          </w:rPr>
                          <w:t>:</w:t>
                        </w:r>
                      </w:p>
                      <w:p w14:paraId="10DD277B" w14:textId="2AA6C29F" w:rsidR="00983F09" w:rsidRPr="002E270B" w:rsidRDefault="00983F09" w:rsidP="00434E81">
                        <w:pPr>
                          <w:spacing w:before="100" w:after="0"/>
                          <w:ind w:left="90" w:right="432"/>
                          <w:contextualSpacing/>
                          <w:rPr>
                            <w:sz w:val="20"/>
                            <w:szCs w:val="20"/>
                          </w:rPr>
                        </w:pPr>
                        <w:r w:rsidRPr="002E270B">
                          <w:rPr>
                            <w:sz w:val="20"/>
                            <w:szCs w:val="20"/>
                          </w:rPr>
                          <w:t xml:space="preserve">Tufts Medical Center. Loeb and Revised McGeer Criteria. September 2023. </w:t>
                        </w:r>
                        <w:hyperlink r:id="rId18" w:history="1">
                          <w:r w:rsidRPr="00983F09">
                            <w:rPr>
                              <w:rStyle w:val="Hyperlink"/>
                              <w:sz w:val="20"/>
                              <w:szCs w:val="20"/>
                            </w:rPr>
                            <w:t>https://infectioncontrolma.org/docs/Loeb-and-Revised-McGeer-Criteria.pdf</w:t>
                          </w:r>
                        </w:hyperlink>
                      </w:p>
                      <w:p w14:paraId="2982AE69" w14:textId="31F55DBB" w:rsidR="006D3DC5" w:rsidRPr="002E270B" w:rsidRDefault="00983F09" w:rsidP="00434E81">
                        <w:pPr>
                          <w:spacing w:before="120" w:after="0"/>
                          <w:ind w:left="90" w:right="432"/>
                          <w:rPr>
                            <w:sz w:val="20"/>
                            <w:szCs w:val="20"/>
                          </w:rPr>
                        </w:pPr>
                        <w:r w:rsidRPr="002E270B">
                          <w:rPr>
                            <w:sz w:val="20"/>
                            <w:szCs w:val="20"/>
                          </w:rPr>
                          <w:t>Minnesota Department of Health. Healthcare-Associated Infections &amp; Antimicrobial Resistance Unit. Loeb and McGeer Criteria: A Practical Guide for Use in Long-Term Care. June 5, 2019</w:t>
                        </w:r>
                        <w:r>
                          <w:rPr>
                            <w:sz w:val="20"/>
                            <w:szCs w:val="20"/>
                          </w:rPr>
                          <w:t>.</w:t>
                        </w:r>
                        <w:r w:rsidR="006D3DC5">
                          <w:rPr>
                            <w:sz w:val="20"/>
                            <w:szCs w:val="20"/>
                          </w:rPr>
                          <w:t xml:space="preserve"> </w:t>
                        </w:r>
                        <w:hyperlink r:id="rId19" w:history="1">
                          <w:r w:rsidR="006D3DC5" w:rsidRPr="002E270B">
                            <w:rPr>
                              <w:rStyle w:val="Hyperlink"/>
                              <w:sz w:val="20"/>
                              <w:szCs w:val="20"/>
                            </w:rPr>
                            <w:t>https://www.health.state.mn.us/diseases/antibioticresistance/hcp/asp/ltc/loebmcgeer.pdf</w:t>
                          </w:r>
                        </w:hyperlink>
                        <w:r w:rsidR="006D3DC5" w:rsidRPr="002E270B">
                          <w:rPr>
                            <w:sz w:val="20"/>
                            <w:szCs w:val="20"/>
                          </w:rPr>
                          <w:t xml:space="preserve">. </w:t>
                        </w:r>
                      </w:p>
                    </w:txbxContent>
                  </v:textbox>
                </v:shape>
                <w10:wrap type="topAndBottom" anchorx="page" anchory="page"/>
              </v:group>
            </w:pict>
          </mc:Fallback>
        </mc:AlternateContent>
      </w:r>
      <w:r w:rsidR="00F868D6" w:rsidRPr="000F3250">
        <w:rPr>
          <w:rFonts w:eastAsia="Times New Roman" w:cstheme="minorHAnsi"/>
          <w:color w:val="212121"/>
        </w:rPr>
        <w:t xml:space="preserve">Rowe TA, Jump RLP, Andersen BM, </w:t>
      </w:r>
      <w:r w:rsidR="00F868D6">
        <w:rPr>
          <w:rFonts w:eastAsia="Times New Roman" w:cstheme="minorHAnsi"/>
          <w:color w:val="212121"/>
        </w:rPr>
        <w:t xml:space="preserve">et al. </w:t>
      </w:r>
      <w:r w:rsidR="00F868D6" w:rsidRPr="000F3250">
        <w:rPr>
          <w:rFonts w:eastAsia="Times New Roman" w:cstheme="minorHAnsi"/>
          <w:color w:val="212121"/>
        </w:rPr>
        <w:t xml:space="preserve">Reliability of </w:t>
      </w:r>
      <w:proofErr w:type="spellStart"/>
      <w:r w:rsidR="00F868D6" w:rsidRPr="000F3250">
        <w:rPr>
          <w:rFonts w:eastAsia="Times New Roman" w:cstheme="minorHAnsi"/>
          <w:color w:val="212121"/>
        </w:rPr>
        <w:t>nonlocalizing</w:t>
      </w:r>
      <w:proofErr w:type="spellEnd"/>
      <w:r w:rsidR="00F868D6" w:rsidRPr="000F3250">
        <w:rPr>
          <w:rFonts w:eastAsia="Times New Roman" w:cstheme="minorHAnsi"/>
          <w:color w:val="212121"/>
        </w:rPr>
        <w:t xml:space="preserve"> signs and symptoms as indicators of the presence of infection in nursing-home residents. Infect Control Hosp Epidemiol. 2022 Apr;43(4):417-426. PMID: 33292915.</w:t>
      </w:r>
    </w:p>
    <w:sectPr w:rsidR="00E06CFA" w:rsidRPr="00C553F2" w:rsidSect="005E09D9">
      <w:headerReference w:type="default" r:id="rId20"/>
      <w:footerReference w:type="default" r:id="rId21"/>
      <w:headerReference w:type="first" r:id="rId22"/>
      <w:footerReference w:type="first" r:id="rId23"/>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EFB9" w14:textId="77777777" w:rsidR="00F644BB" w:rsidRDefault="00F644BB" w:rsidP="00213294">
      <w:r>
        <w:separator/>
      </w:r>
    </w:p>
  </w:endnote>
  <w:endnote w:type="continuationSeparator" w:id="0">
    <w:p w14:paraId="499A761E" w14:textId="77777777" w:rsidR="00F644BB" w:rsidRDefault="00F644BB" w:rsidP="00213294">
      <w:r>
        <w:continuationSeparator/>
      </w:r>
    </w:p>
  </w:endnote>
  <w:endnote w:type="continuationNotice" w:id="1">
    <w:p w14:paraId="63072A04" w14:textId="77777777" w:rsidR="00F644BB" w:rsidRDefault="00F64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220734E2" w:rsidR="008355F5" w:rsidRDefault="00E452C5" w:rsidP="00400354">
    <w:pPr>
      <w:pStyle w:val="FooterText0"/>
    </w:pPr>
    <w:r>
      <w:rPr>
        <w:noProof/>
      </w:rPr>
      <mc:AlternateContent>
        <mc:Choice Requires="wps">
          <w:drawing>
            <wp:anchor distT="45720" distB="45720" distL="114300" distR="114300" simplePos="0" relativeHeight="251658242" behindDoc="0" locked="0" layoutInCell="1" allowOverlap="1" wp14:anchorId="0C3EFC0E" wp14:editId="6ACA02A7">
              <wp:simplePos x="0" y="0"/>
              <wp:positionH relativeFrom="rightMargin">
                <wp:posOffset>0</wp:posOffset>
              </wp:positionH>
              <wp:positionV relativeFrom="page">
                <wp:posOffset>9587230</wp:posOffset>
              </wp:positionV>
              <wp:extent cx="255905"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0C3EFC0E" id="_x0000_t202" coordsize="21600,21600" o:spt="202" path="m,l,21600r21600,l21600,xe">
              <v:stroke joinstyle="miter"/>
              <v:path gradientshapeok="t" o:connecttype="rect"/>
            </v:shapetype>
            <v:shape id="_x0000_s1036" type="#_x0000_t202" style="position:absolute;margin-left:0;margin-top:754.9pt;width:20.15pt;height:110.6pt;z-index:25165824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A26D34">
      <w:rPr>
        <w:noProof/>
      </w:rPr>
      <mc:AlternateContent>
        <mc:Choice Requires="wps">
          <w:drawing>
            <wp:anchor distT="0" distB="0" distL="114300" distR="114300" simplePos="0" relativeHeight="251659271" behindDoc="1" locked="0" layoutInCell="1" allowOverlap="1" wp14:anchorId="028D5949" wp14:editId="75E9C8CB">
              <wp:simplePos x="0" y="0"/>
              <wp:positionH relativeFrom="column">
                <wp:posOffset>4960620</wp:posOffset>
              </wp:positionH>
              <wp:positionV relativeFrom="paragraph">
                <wp:posOffset>179070</wp:posOffset>
              </wp:positionV>
              <wp:extent cx="2011680" cy="1404620"/>
              <wp:effectExtent l="0" t="0" r="7620" b="0"/>
              <wp:wrapTight wrapText="bothSides">
                <wp:wrapPolygon edited="0">
                  <wp:start x="0" y="0"/>
                  <wp:lineTo x="0" y="20026"/>
                  <wp:lineTo x="21477" y="20026"/>
                  <wp:lineTo x="21477" y="0"/>
                  <wp:lineTo x="0" y="0"/>
                </wp:wrapPolygon>
              </wp:wrapTight>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2D43CEC1" w:rsidR="00073E9C" w:rsidRPr="00A26D34" w:rsidRDefault="00CD6C88" w:rsidP="00F63CAD">
                          <w:pPr>
                            <w:pStyle w:val="FooterText0"/>
                            <w:jc w:val="right"/>
                            <w:rPr>
                              <w:sz w:val="18"/>
                              <w:szCs w:val="18"/>
                            </w:rPr>
                          </w:pPr>
                          <w:r w:rsidRPr="00A26D34">
                            <w:rPr>
                              <w:sz w:val="18"/>
                              <w:szCs w:val="18"/>
                            </w:rPr>
                            <w:t>Loeb and McGeer</w:t>
                          </w:r>
                        </w:p>
                        <w:p w14:paraId="093763F9" w14:textId="1867C2B2" w:rsidR="00073E9C" w:rsidRPr="00A26D34" w:rsidRDefault="00CD6C88" w:rsidP="00F63CAD">
                          <w:pPr>
                            <w:pStyle w:val="FooterText0"/>
                            <w:jc w:val="right"/>
                            <w:rPr>
                              <w:b/>
                              <w:sz w:val="18"/>
                              <w:szCs w:val="18"/>
                            </w:rPr>
                          </w:pPr>
                          <w:r w:rsidRPr="00A26D34">
                            <w:rPr>
                              <w:sz w:val="18"/>
                              <w:szCs w:val="18"/>
                            </w:rPr>
                            <w:t>Clinical and Surveillance Crite</w:t>
                          </w:r>
                          <w:r w:rsidR="00DC4316" w:rsidRPr="00A26D34">
                            <w:rPr>
                              <w:sz w:val="18"/>
                              <w:szCs w:val="18"/>
                            </w:rPr>
                            <w:t>ria</w:t>
                          </w:r>
                        </w:p>
                      </w:txbxContent>
                    </wps:txbx>
                    <wps:bodyPr rot="0" vert="horz" wrap="square" lIns="0" tIns="0" rIns="0" bIns="0" anchor="b" anchorCtr="0">
                      <a:spAutoFit/>
                    </wps:bodyPr>
                  </wps:wsp>
                </a:graphicData>
              </a:graphic>
            </wp:anchor>
          </w:drawing>
        </mc:Choice>
        <mc:Fallback>
          <w:pict>
            <v:shape w14:anchorId="028D5949" id="_x0000_s1037" type="#_x0000_t202" style="position:absolute;margin-left:390.6pt;margin-top:14.1pt;width:158.4pt;height:110.6pt;z-index:-251657209;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" filled="f" stroked="f">
              <v:textbox style="mso-fit-shape-to-text:t" inset="0,0,0,0">
                <w:txbxContent>
                  <w:p w14:paraId="1D2AACE4" w14:textId="2D43CEC1" w:rsidR="00073E9C" w:rsidRPr="00A26D34" w:rsidRDefault="00CD6C88" w:rsidP="00F63CAD">
                    <w:pPr>
                      <w:pStyle w:val="FooterText0"/>
                      <w:jc w:val="right"/>
                      <w:rPr>
                        <w:sz w:val="18"/>
                        <w:szCs w:val="18"/>
                      </w:rPr>
                    </w:pPr>
                    <w:r w:rsidRPr="00A26D34">
                      <w:rPr>
                        <w:sz w:val="18"/>
                        <w:szCs w:val="18"/>
                      </w:rPr>
                      <w:t>Loeb and McGeer</w:t>
                    </w:r>
                  </w:p>
                  <w:p w14:paraId="093763F9" w14:textId="1867C2B2" w:rsidR="00073E9C" w:rsidRPr="00A26D34" w:rsidRDefault="00CD6C88" w:rsidP="00F63CAD">
                    <w:pPr>
                      <w:pStyle w:val="FooterText0"/>
                      <w:jc w:val="right"/>
                      <w:rPr>
                        <w:b/>
                        <w:sz w:val="18"/>
                        <w:szCs w:val="18"/>
                      </w:rPr>
                    </w:pPr>
                    <w:r w:rsidRPr="00A26D34">
                      <w:rPr>
                        <w:sz w:val="18"/>
                        <w:szCs w:val="18"/>
                      </w:rPr>
                      <w:t>Clinical and Surveillance Crite</w:t>
                    </w:r>
                    <w:r w:rsidR="00DC4316" w:rsidRPr="00A26D34">
                      <w:rPr>
                        <w:sz w:val="18"/>
                        <w:szCs w:val="18"/>
                      </w:rPr>
                      <w:t>ria</w:t>
                    </w:r>
                  </w:p>
                </w:txbxContent>
              </v:textbox>
              <w10:wrap type="tight"/>
            </v:shape>
          </w:pict>
        </mc:Fallback>
      </mc:AlternateContent>
    </w:r>
    <w:r w:rsidR="001E6CA6">
      <w:rPr>
        <w:noProof/>
      </w:rPr>
      <mc:AlternateContent>
        <mc:Choice Requires="wps">
          <w:drawing>
            <wp:anchor distT="45720" distB="45720" distL="114300" distR="114300" simplePos="0" relativeHeight="251658241" behindDoc="0" locked="0" layoutInCell="1" allowOverlap="1" wp14:anchorId="74F14F38" wp14:editId="09848E88">
              <wp:simplePos x="0" y="0"/>
              <wp:positionH relativeFrom="leftMargin">
                <wp:posOffset>457200</wp:posOffset>
              </wp:positionH>
              <wp:positionV relativeFrom="page">
                <wp:posOffset>9591081</wp:posOffset>
              </wp:positionV>
              <wp:extent cx="3483864" cy="1404620"/>
              <wp:effectExtent l="0" t="0" r="254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74F14F38" id="_x0000_s1038" type="#_x0000_t202" style="position:absolute;margin-left:36pt;margin-top:755.2pt;width:274.3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uCAIAAO4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" stroked="f">
              <v:textbox style="mso-fit-shape-to-text:t" inset="0,0,0,0">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29AACFF0">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61E55219" w:rsidR="00107152" w:rsidRDefault="005E09D9" w:rsidP="00107152">
    <w:pPr>
      <w:pStyle w:val="Footer"/>
      <w:spacing w:before="120"/>
    </w:pPr>
    <w:r w:rsidRPr="007E75A9">
      <w:rPr>
        <w:noProof/>
      </w:rPr>
      <w:drawing>
        <wp:anchor distT="0" distB="0" distL="114300" distR="114300" simplePos="0" relativeHeight="251658247" behindDoc="1" locked="1" layoutInCell="1" allowOverlap="1" wp14:anchorId="358B6FA9" wp14:editId="65CBAED2">
          <wp:simplePos x="0" y="0"/>
          <wp:positionH relativeFrom="page">
            <wp:posOffset>-19685</wp:posOffset>
          </wp:positionH>
          <wp:positionV relativeFrom="page">
            <wp:posOffset>9314180</wp:posOffset>
          </wp:positionV>
          <wp:extent cx="7870190" cy="772795"/>
          <wp:effectExtent l="0" t="0" r="0" b="8255"/>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2410"/>
                  <a:stretch/>
                </pic:blipFill>
                <pic:spPr bwMode="auto">
                  <a:xfrm>
                    <a:off x="0" y="0"/>
                    <a:ext cx="7870190"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6C39" w14:textId="77777777" w:rsidR="00F644BB" w:rsidRDefault="00F644BB" w:rsidP="00213294">
      <w:r>
        <w:separator/>
      </w:r>
    </w:p>
  </w:footnote>
  <w:footnote w:type="continuationSeparator" w:id="0">
    <w:p w14:paraId="26A3E99E" w14:textId="77777777" w:rsidR="00F644BB" w:rsidRDefault="00F644BB" w:rsidP="00213294">
      <w:r>
        <w:continuationSeparator/>
      </w:r>
    </w:p>
  </w:footnote>
  <w:footnote w:type="continuationNotice" w:id="1">
    <w:p w14:paraId="11645122" w14:textId="77777777" w:rsidR="00F644BB" w:rsidRDefault="00F64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5CCA258" w14:paraId="77E87AB7" w14:textId="77777777" w:rsidTr="35CCA258">
      <w:trPr>
        <w:trHeight w:val="300"/>
      </w:trPr>
      <w:tc>
        <w:tcPr>
          <w:tcW w:w="3600" w:type="dxa"/>
        </w:tcPr>
        <w:p w14:paraId="31B46278" w14:textId="187C1DBD" w:rsidR="35CCA258" w:rsidRDefault="35CCA258" w:rsidP="35CCA258">
          <w:pPr>
            <w:pStyle w:val="Header"/>
            <w:ind w:left="-115"/>
          </w:pPr>
        </w:p>
      </w:tc>
      <w:tc>
        <w:tcPr>
          <w:tcW w:w="3600" w:type="dxa"/>
        </w:tcPr>
        <w:p w14:paraId="34981E4C" w14:textId="3ABE190E" w:rsidR="35CCA258" w:rsidRDefault="35CCA258" w:rsidP="35CCA258">
          <w:pPr>
            <w:pStyle w:val="Header"/>
            <w:jc w:val="center"/>
          </w:pPr>
        </w:p>
      </w:tc>
      <w:tc>
        <w:tcPr>
          <w:tcW w:w="3600" w:type="dxa"/>
        </w:tcPr>
        <w:p w14:paraId="6C91C50C" w14:textId="5C2890C1" w:rsidR="35CCA258" w:rsidRDefault="35CCA258" w:rsidP="35CCA258">
          <w:pPr>
            <w:pStyle w:val="Header"/>
            <w:ind w:right="-115"/>
            <w:jc w:val="right"/>
          </w:pPr>
        </w:p>
      </w:tc>
    </w:tr>
  </w:tbl>
  <w:p w14:paraId="016CEE33" w14:textId="5FB9AE36" w:rsidR="35CCA258" w:rsidRDefault="35CCA258" w:rsidP="35CCA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1FB" w14:textId="109D7F7F" w:rsidR="00BD1F59" w:rsidRPr="0016237E" w:rsidRDefault="00BD1F59" w:rsidP="009E0BF2">
    <w:pPr>
      <w:pStyle w:val="HeaderTitle"/>
      <w:contextualSpacing/>
    </w:pPr>
    <w:r>
      <w:tab/>
    </w:r>
    <w:r w:rsidR="00A05E79" w:rsidRPr="0016237E">
      <w:drawing>
        <wp:anchor distT="0" distB="0" distL="114300" distR="114300" simplePos="0" relativeHeight="251658245" behindDoc="1" locked="1" layoutInCell="1" allowOverlap="1" wp14:anchorId="57CF0444" wp14:editId="0082F40F">
          <wp:simplePos x="0" y="0"/>
          <wp:positionH relativeFrom="page">
            <wp:posOffset>-441960</wp:posOffset>
          </wp:positionH>
          <wp:positionV relativeFrom="page">
            <wp:posOffset>-19685</wp:posOffset>
          </wp:positionV>
          <wp:extent cx="8292465" cy="1024890"/>
          <wp:effectExtent l="0" t="0" r="0" b="3810"/>
          <wp:wrapNone/>
          <wp:docPr id="16183364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645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r="15524"/>
                  <a:stretch/>
                </pic:blipFill>
                <pic:spPr bwMode="auto">
                  <a:xfrm>
                    <a:off x="0" y="0"/>
                    <a:ext cx="8292465" cy="102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37E">
      <w:t xml:space="preserve">Improving Skin Care and </w:t>
    </w:r>
  </w:p>
  <w:p w14:paraId="23560DB7" w14:textId="79D3CC9E" w:rsidR="00B34235" w:rsidRPr="0016237E" w:rsidRDefault="00BD1F59" w:rsidP="009E0BF2">
    <w:pPr>
      <w:pStyle w:val="HeaderTitle"/>
      <w:contextualSpacing/>
    </w:pPr>
    <w:r w:rsidRPr="0016237E">
      <w:drawing>
        <wp:anchor distT="0" distB="0" distL="114300" distR="114300" simplePos="0" relativeHeight="251658244" behindDoc="1" locked="0" layoutInCell="1" allowOverlap="1" wp14:anchorId="32FFADCC" wp14:editId="1656FAC9">
          <wp:simplePos x="0" y="0"/>
          <wp:positionH relativeFrom="column">
            <wp:posOffset>-161109</wp:posOffset>
          </wp:positionH>
          <wp:positionV relativeFrom="paragraph">
            <wp:posOffset>447675</wp:posOffset>
          </wp:positionV>
          <wp:extent cx="1589405" cy="1059180"/>
          <wp:effectExtent l="0" t="0" r="0" b="0"/>
          <wp:wrapTight wrapText="bothSides">
            <wp:wrapPolygon edited="0">
              <wp:start x="3883" y="1554"/>
              <wp:lineTo x="4142" y="9712"/>
              <wp:lineTo x="2589" y="14763"/>
              <wp:lineTo x="2589" y="20978"/>
              <wp:lineTo x="8026" y="20978"/>
              <wp:lineTo x="14498" y="20201"/>
              <wp:lineTo x="18122" y="18259"/>
              <wp:lineTo x="17863" y="7381"/>
              <wp:lineTo x="17087" y="3108"/>
              <wp:lineTo x="16569" y="1554"/>
              <wp:lineTo x="3883" y="1554"/>
            </wp:wrapPolygon>
          </wp:wrapTight>
          <wp:docPr id="1059060417" name="Picture 1" descr="Teachable Moment Trade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0417" name="Picture 1059060417" descr="Teachable Moment Trademark Logo"/>
                  <pic:cNvPicPr>
                    <a:picLocks noChangeAspect="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589405" cy="1059180"/>
                  </a:xfrm>
                  <a:prstGeom prst="rect">
                    <a:avLst/>
                  </a:prstGeom>
                  <a:noFill/>
                  <a:ln>
                    <a:noFill/>
                  </a:ln>
                </pic:spPr>
              </pic:pic>
            </a:graphicData>
          </a:graphic>
        </wp:anchor>
      </w:drawing>
    </w:r>
    <w:r w:rsidRPr="0016237E">
      <w:drawing>
        <wp:anchor distT="0" distB="0" distL="114300" distR="114300" simplePos="0" relativeHeight="251658246" behindDoc="0" locked="0" layoutInCell="1" allowOverlap="1" wp14:anchorId="2003E032" wp14:editId="55A1C52D">
          <wp:simplePos x="0" y="0"/>
          <wp:positionH relativeFrom="page">
            <wp:posOffset>6244856</wp:posOffset>
          </wp:positionH>
          <wp:positionV relativeFrom="page">
            <wp:posOffset>873578</wp:posOffset>
          </wp:positionV>
          <wp:extent cx="1189990" cy="1189990"/>
          <wp:effectExtent l="0" t="0" r="0" b="0"/>
          <wp:wrapNone/>
          <wp:docPr id="1570372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sidRPr="0016237E">
      <w:tab/>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939E5"/>
    <w:multiLevelType w:val="hybridMultilevel"/>
    <w:tmpl w:val="7BDE7402"/>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8"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11" w15:restartNumberingAfterBreak="0">
    <w:nsid w:val="5A146E46"/>
    <w:multiLevelType w:val="hybridMultilevel"/>
    <w:tmpl w:val="951E1F76"/>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7BD69C5"/>
    <w:multiLevelType w:val="hybridMultilevel"/>
    <w:tmpl w:val="0FFEED20"/>
    <w:lvl w:ilvl="0" w:tplc="6F849A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16"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17" w15:restartNumberingAfterBreak="0">
    <w:nsid w:val="7A0902FE"/>
    <w:multiLevelType w:val="hybridMultilevel"/>
    <w:tmpl w:val="EFAC2F32"/>
    <w:lvl w:ilvl="0" w:tplc="EB56DAFC">
      <w:numFmt w:val="bullet"/>
      <w:lvlText w:val="•"/>
      <w:lvlJc w:val="left"/>
      <w:pPr>
        <w:ind w:left="540" w:hanging="180"/>
      </w:pPr>
      <w:rPr>
        <w:rFonts w:ascii="Century Gothic" w:eastAsia="Century Gothic" w:hAnsi="Century Gothic" w:cs="Century Gothic" w:hint="default"/>
        <w:color w:val="231F20"/>
        <w:w w:val="78"/>
        <w:sz w:val="22"/>
        <w:szCs w:val="22"/>
        <w:lang w:val="en-US" w:eastAsia="en-US" w:bidi="en-US"/>
      </w:rPr>
    </w:lvl>
    <w:lvl w:ilvl="1" w:tplc="89809994">
      <w:numFmt w:val="bullet"/>
      <w:lvlText w:val="•"/>
      <w:lvlJc w:val="left"/>
      <w:pPr>
        <w:ind w:left="905" w:hanging="180"/>
      </w:pPr>
      <w:rPr>
        <w:rFonts w:hint="default"/>
        <w:lang w:val="en-US" w:eastAsia="en-US" w:bidi="en-US"/>
      </w:rPr>
    </w:lvl>
    <w:lvl w:ilvl="2" w:tplc="55E0E81E">
      <w:numFmt w:val="bullet"/>
      <w:lvlText w:val="•"/>
      <w:lvlJc w:val="left"/>
      <w:pPr>
        <w:ind w:left="1271" w:hanging="180"/>
      </w:pPr>
      <w:rPr>
        <w:rFonts w:hint="default"/>
        <w:lang w:val="en-US" w:eastAsia="en-US" w:bidi="en-US"/>
      </w:rPr>
    </w:lvl>
    <w:lvl w:ilvl="3" w:tplc="8988BBE8">
      <w:numFmt w:val="bullet"/>
      <w:lvlText w:val="•"/>
      <w:lvlJc w:val="left"/>
      <w:pPr>
        <w:ind w:left="1637" w:hanging="180"/>
      </w:pPr>
      <w:rPr>
        <w:rFonts w:hint="default"/>
        <w:lang w:val="en-US" w:eastAsia="en-US" w:bidi="en-US"/>
      </w:rPr>
    </w:lvl>
    <w:lvl w:ilvl="4" w:tplc="670A7984">
      <w:numFmt w:val="bullet"/>
      <w:lvlText w:val="•"/>
      <w:lvlJc w:val="left"/>
      <w:pPr>
        <w:ind w:left="2003" w:hanging="180"/>
      </w:pPr>
      <w:rPr>
        <w:rFonts w:hint="default"/>
        <w:lang w:val="en-US" w:eastAsia="en-US" w:bidi="en-US"/>
      </w:rPr>
    </w:lvl>
    <w:lvl w:ilvl="5" w:tplc="32E24ECA">
      <w:numFmt w:val="bullet"/>
      <w:lvlText w:val="•"/>
      <w:lvlJc w:val="left"/>
      <w:pPr>
        <w:ind w:left="2369" w:hanging="180"/>
      </w:pPr>
      <w:rPr>
        <w:rFonts w:hint="default"/>
        <w:lang w:val="en-US" w:eastAsia="en-US" w:bidi="en-US"/>
      </w:rPr>
    </w:lvl>
    <w:lvl w:ilvl="6" w:tplc="09B81288">
      <w:numFmt w:val="bullet"/>
      <w:lvlText w:val="•"/>
      <w:lvlJc w:val="left"/>
      <w:pPr>
        <w:ind w:left="2735" w:hanging="180"/>
      </w:pPr>
      <w:rPr>
        <w:rFonts w:hint="default"/>
        <w:lang w:val="en-US" w:eastAsia="en-US" w:bidi="en-US"/>
      </w:rPr>
    </w:lvl>
    <w:lvl w:ilvl="7" w:tplc="41C20A42">
      <w:numFmt w:val="bullet"/>
      <w:lvlText w:val="•"/>
      <w:lvlJc w:val="left"/>
      <w:pPr>
        <w:ind w:left="3101" w:hanging="180"/>
      </w:pPr>
      <w:rPr>
        <w:rFonts w:hint="default"/>
        <w:lang w:val="en-US" w:eastAsia="en-US" w:bidi="en-US"/>
      </w:rPr>
    </w:lvl>
    <w:lvl w:ilvl="8" w:tplc="CF9053D4">
      <w:numFmt w:val="bullet"/>
      <w:lvlText w:val="•"/>
      <w:lvlJc w:val="left"/>
      <w:pPr>
        <w:ind w:left="3467" w:hanging="180"/>
      </w:pPr>
      <w:rPr>
        <w:rFonts w:hint="default"/>
        <w:lang w:val="en-US" w:eastAsia="en-US" w:bidi="en-US"/>
      </w:rPr>
    </w:lvl>
  </w:abstractNum>
  <w:abstractNum w:abstractNumId="18"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1045325330">
    <w:abstractNumId w:val="10"/>
  </w:num>
  <w:num w:numId="2" w16cid:durableId="947741525">
    <w:abstractNumId w:val="7"/>
  </w:num>
  <w:num w:numId="3" w16cid:durableId="2026444465">
    <w:abstractNumId w:val="15"/>
  </w:num>
  <w:num w:numId="4" w16cid:durableId="1933855987">
    <w:abstractNumId w:val="19"/>
  </w:num>
  <w:num w:numId="5" w16cid:durableId="1462530004">
    <w:abstractNumId w:val="13"/>
  </w:num>
  <w:num w:numId="6" w16cid:durableId="1451583160">
    <w:abstractNumId w:val="5"/>
  </w:num>
  <w:num w:numId="7" w16cid:durableId="151722754">
    <w:abstractNumId w:val="0"/>
  </w:num>
  <w:num w:numId="8" w16cid:durableId="1669210021">
    <w:abstractNumId w:val="8"/>
  </w:num>
  <w:num w:numId="9" w16cid:durableId="1554342639">
    <w:abstractNumId w:val="18"/>
  </w:num>
  <w:num w:numId="10" w16cid:durableId="1358581995">
    <w:abstractNumId w:val="3"/>
  </w:num>
  <w:num w:numId="11" w16cid:durableId="1160005923">
    <w:abstractNumId w:val="12"/>
  </w:num>
  <w:num w:numId="12" w16cid:durableId="961620103">
    <w:abstractNumId w:val="4"/>
  </w:num>
  <w:num w:numId="13" w16cid:durableId="1078136587">
    <w:abstractNumId w:val="1"/>
  </w:num>
  <w:num w:numId="14" w16cid:durableId="713775548">
    <w:abstractNumId w:val="16"/>
  </w:num>
  <w:num w:numId="15" w16cid:durableId="1195188968">
    <w:abstractNumId w:val="9"/>
  </w:num>
  <w:num w:numId="16" w16cid:durableId="1413971250">
    <w:abstractNumId w:val="6"/>
  </w:num>
  <w:num w:numId="17" w16cid:durableId="1782648997">
    <w:abstractNumId w:val="17"/>
  </w:num>
  <w:num w:numId="18" w16cid:durableId="740178648">
    <w:abstractNumId w:val="2"/>
  </w:num>
  <w:num w:numId="19" w16cid:durableId="856119466">
    <w:abstractNumId w:val="11"/>
  </w:num>
  <w:num w:numId="20" w16cid:durableId="15773963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169"/>
    <w:rsid w:val="00003156"/>
    <w:rsid w:val="00005293"/>
    <w:rsid w:val="00007EC1"/>
    <w:rsid w:val="0001195A"/>
    <w:rsid w:val="000121EA"/>
    <w:rsid w:val="00013768"/>
    <w:rsid w:val="000157FD"/>
    <w:rsid w:val="00015BAC"/>
    <w:rsid w:val="00020687"/>
    <w:rsid w:val="0002297B"/>
    <w:rsid w:val="0002520D"/>
    <w:rsid w:val="00025F35"/>
    <w:rsid w:val="000260E4"/>
    <w:rsid w:val="00026DD3"/>
    <w:rsid w:val="00027B5F"/>
    <w:rsid w:val="00030F2A"/>
    <w:rsid w:val="000345E8"/>
    <w:rsid w:val="0003577D"/>
    <w:rsid w:val="00036016"/>
    <w:rsid w:val="00043365"/>
    <w:rsid w:val="000439CE"/>
    <w:rsid w:val="0004632D"/>
    <w:rsid w:val="00047804"/>
    <w:rsid w:val="00050C33"/>
    <w:rsid w:val="00053A1D"/>
    <w:rsid w:val="00055771"/>
    <w:rsid w:val="00056288"/>
    <w:rsid w:val="000565B8"/>
    <w:rsid w:val="0005E022"/>
    <w:rsid w:val="00062A89"/>
    <w:rsid w:val="00067ADF"/>
    <w:rsid w:val="00070725"/>
    <w:rsid w:val="00071464"/>
    <w:rsid w:val="00073E9C"/>
    <w:rsid w:val="000750A8"/>
    <w:rsid w:val="000759DD"/>
    <w:rsid w:val="00076E07"/>
    <w:rsid w:val="00077D5F"/>
    <w:rsid w:val="00080AF8"/>
    <w:rsid w:val="00080CD0"/>
    <w:rsid w:val="000824D6"/>
    <w:rsid w:val="000841E1"/>
    <w:rsid w:val="00084D88"/>
    <w:rsid w:val="00084EBF"/>
    <w:rsid w:val="00086855"/>
    <w:rsid w:val="00086974"/>
    <w:rsid w:val="00090166"/>
    <w:rsid w:val="00096A9A"/>
    <w:rsid w:val="000A1B9C"/>
    <w:rsid w:val="000A1CA8"/>
    <w:rsid w:val="000A1E94"/>
    <w:rsid w:val="000A44E1"/>
    <w:rsid w:val="000B0660"/>
    <w:rsid w:val="000B1A0A"/>
    <w:rsid w:val="000C0177"/>
    <w:rsid w:val="000C2E5B"/>
    <w:rsid w:val="000C3252"/>
    <w:rsid w:val="000C392B"/>
    <w:rsid w:val="000C661A"/>
    <w:rsid w:val="000C6B20"/>
    <w:rsid w:val="000D35D1"/>
    <w:rsid w:val="000D67B2"/>
    <w:rsid w:val="000D7F99"/>
    <w:rsid w:val="000E02A6"/>
    <w:rsid w:val="000E306C"/>
    <w:rsid w:val="000E6310"/>
    <w:rsid w:val="000E770B"/>
    <w:rsid w:val="000F3861"/>
    <w:rsid w:val="000F57F0"/>
    <w:rsid w:val="000F5B8A"/>
    <w:rsid w:val="000F5F33"/>
    <w:rsid w:val="000F702C"/>
    <w:rsid w:val="000F78CB"/>
    <w:rsid w:val="000F799B"/>
    <w:rsid w:val="00104DE8"/>
    <w:rsid w:val="0010505B"/>
    <w:rsid w:val="00106075"/>
    <w:rsid w:val="00106FE5"/>
    <w:rsid w:val="00107152"/>
    <w:rsid w:val="00107266"/>
    <w:rsid w:val="0010778F"/>
    <w:rsid w:val="0010792A"/>
    <w:rsid w:val="0011113D"/>
    <w:rsid w:val="00111171"/>
    <w:rsid w:val="00111A18"/>
    <w:rsid w:val="00114117"/>
    <w:rsid w:val="0011684E"/>
    <w:rsid w:val="00116C06"/>
    <w:rsid w:val="00121BCA"/>
    <w:rsid w:val="00123B34"/>
    <w:rsid w:val="001241C5"/>
    <w:rsid w:val="00125240"/>
    <w:rsid w:val="00125F9A"/>
    <w:rsid w:val="0012621A"/>
    <w:rsid w:val="00127B14"/>
    <w:rsid w:val="0013009B"/>
    <w:rsid w:val="00131C87"/>
    <w:rsid w:val="00134449"/>
    <w:rsid w:val="00134EF5"/>
    <w:rsid w:val="001360B4"/>
    <w:rsid w:val="001366A0"/>
    <w:rsid w:val="00136C0D"/>
    <w:rsid w:val="00137619"/>
    <w:rsid w:val="0014237D"/>
    <w:rsid w:val="0014408D"/>
    <w:rsid w:val="00147958"/>
    <w:rsid w:val="001503C9"/>
    <w:rsid w:val="001555B2"/>
    <w:rsid w:val="001608D6"/>
    <w:rsid w:val="00160A2F"/>
    <w:rsid w:val="0016237E"/>
    <w:rsid w:val="0016354B"/>
    <w:rsid w:val="001650B1"/>
    <w:rsid w:val="00170708"/>
    <w:rsid w:val="00171F11"/>
    <w:rsid w:val="0017696B"/>
    <w:rsid w:val="001819F1"/>
    <w:rsid w:val="00181C4F"/>
    <w:rsid w:val="001827E7"/>
    <w:rsid w:val="00182E7D"/>
    <w:rsid w:val="00184367"/>
    <w:rsid w:val="00185CB8"/>
    <w:rsid w:val="00192A5B"/>
    <w:rsid w:val="00193939"/>
    <w:rsid w:val="001950F5"/>
    <w:rsid w:val="00196684"/>
    <w:rsid w:val="0019DD80"/>
    <w:rsid w:val="001A0EA7"/>
    <w:rsid w:val="001A3426"/>
    <w:rsid w:val="001A7D65"/>
    <w:rsid w:val="001B0950"/>
    <w:rsid w:val="001B0E55"/>
    <w:rsid w:val="001B1787"/>
    <w:rsid w:val="001B4A8E"/>
    <w:rsid w:val="001B63FE"/>
    <w:rsid w:val="001B66C8"/>
    <w:rsid w:val="001C32A5"/>
    <w:rsid w:val="001C4AAA"/>
    <w:rsid w:val="001C6CCE"/>
    <w:rsid w:val="001C7FE8"/>
    <w:rsid w:val="001D0264"/>
    <w:rsid w:val="001D0D24"/>
    <w:rsid w:val="001D0F66"/>
    <w:rsid w:val="001D2A58"/>
    <w:rsid w:val="001D2B26"/>
    <w:rsid w:val="001D3237"/>
    <w:rsid w:val="001D6FEC"/>
    <w:rsid w:val="001E0178"/>
    <w:rsid w:val="001E08CC"/>
    <w:rsid w:val="001E36F3"/>
    <w:rsid w:val="001E3C59"/>
    <w:rsid w:val="001E3D9B"/>
    <w:rsid w:val="001E4270"/>
    <w:rsid w:val="001E6CA6"/>
    <w:rsid w:val="001F091F"/>
    <w:rsid w:val="001F1C44"/>
    <w:rsid w:val="001F2578"/>
    <w:rsid w:val="001F3854"/>
    <w:rsid w:val="001F701E"/>
    <w:rsid w:val="00200424"/>
    <w:rsid w:val="00200638"/>
    <w:rsid w:val="0020256A"/>
    <w:rsid w:val="002028E3"/>
    <w:rsid w:val="00205068"/>
    <w:rsid w:val="00205469"/>
    <w:rsid w:val="00206CB9"/>
    <w:rsid w:val="00207EA5"/>
    <w:rsid w:val="00210844"/>
    <w:rsid w:val="00211E47"/>
    <w:rsid w:val="00213294"/>
    <w:rsid w:val="00213B76"/>
    <w:rsid w:val="00215AF0"/>
    <w:rsid w:val="002251D4"/>
    <w:rsid w:val="002255C1"/>
    <w:rsid w:val="00225860"/>
    <w:rsid w:val="00227833"/>
    <w:rsid w:val="00230BAB"/>
    <w:rsid w:val="0023415F"/>
    <w:rsid w:val="00236CDA"/>
    <w:rsid w:val="00237985"/>
    <w:rsid w:val="0024158D"/>
    <w:rsid w:val="00250CAA"/>
    <w:rsid w:val="0025289D"/>
    <w:rsid w:val="00253F74"/>
    <w:rsid w:val="00256753"/>
    <w:rsid w:val="00257846"/>
    <w:rsid w:val="002579D6"/>
    <w:rsid w:val="00266418"/>
    <w:rsid w:val="00266815"/>
    <w:rsid w:val="002675C1"/>
    <w:rsid w:val="0027117E"/>
    <w:rsid w:val="0027390F"/>
    <w:rsid w:val="00273CB3"/>
    <w:rsid w:val="0027583D"/>
    <w:rsid w:val="002769D2"/>
    <w:rsid w:val="00281D4D"/>
    <w:rsid w:val="00283C76"/>
    <w:rsid w:val="00284338"/>
    <w:rsid w:val="002863E6"/>
    <w:rsid w:val="002901BA"/>
    <w:rsid w:val="00290243"/>
    <w:rsid w:val="00292192"/>
    <w:rsid w:val="002924B4"/>
    <w:rsid w:val="00292E4E"/>
    <w:rsid w:val="002944D3"/>
    <w:rsid w:val="00295110"/>
    <w:rsid w:val="0029588B"/>
    <w:rsid w:val="002963BE"/>
    <w:rsid w:val="002A091B"/>
    <w:rsid w:val="002A281B"/>
    <w:rsid w:val="002A6103"/>
    <w:rsid w:val="002A7A98"/>
    <w:rsid w:val="002B02FC"/>
    <w:rsid w:val="002B35FD"/>
    <w:rsid w:val="002B3C21"/>
    <w:rsid w:val="002B445A"/>
    <w:rsid w:val="002B7F48"/>
    <w:rsid w:val="002C1FB6"/>
    <w:rsid w:val="002C212E"/>
    <w:rsid w:val="002C350F"/>
    <w:rsid w:val="002C42DB"/>
    <w:rsid w:val="002C7465"/>
    <w:rsid w:val="002C7879"/>
    <w:rsid w:val="002D16CD"/>
    <w:rsid w:val="002D354D"/>
    <w:rsid w:val="002D519D"/>
    <w:rsid w:val="002D719F"/>
    <w:rsid w:val="002D75E4"/>
    <w:rsid w:val="002E10F4"/>
    <w:rsid w:val="002E270B"/>
    <w:rsid w:val="002E2B64"/>
    <w:rsid w:val="002E65D3"/>
    <w:rsid w:val="002F16AD"/>
    <w:rsid w:val="002F361E"/>
    <w:rsid w:val="002F3670"/>
    <w:rsid w:val="002F4483"/>
    <w:rsid w:val="002F51A3"/>
    <w:rsid w:val="002F7091"/>
    <w:rsid w:val="002F7176"/>
    <w:rsid w:val="003004DA"/>
    <w:rsid w:val="00300D80"/>
    <w:rsid w:val="00301795"/>
    <w:rsid w:val="003030EB"/>
    <w:rsid w:val="00303378"/>
    <w:rsid w:val="0030415B"/>
    <w:rsid w:val="00305835"/>
    <w:rsid w:val="00305C49"/>
    <w:rsid w:val="00312C7D"/>
    <w:rsid w:val="003157F4"/>
    <w:rsid w:val="00315DBD"/>
    <w:rsid w:val="00320648"/>
    <w:rsid w:val="00323021"/>
    <w:rsid w:val="003274C8"/>
    <w:rsid w:val="0033719A"/>
    <w:rsid w:val="0034004E"/>
    <w:rsid w:val="00344D1E"/>
    <w:rsid w:val="003465B2"/>
    <w:rsid w:val="00347594"/>
    <w:rsid w:val="00352D4E"/>
    <w:rsid w:val="00355F32"/>
    <w:rsid w:val="00357124"/>
    <w:rsid w:val="003610D7"/>
    <w:rsid w:val="00361C75"/>
    <w:rsid w:val="0036456F"/>
    <w:rsid w:val="003649E3"/>
    <w:rsid w:val="00370D16"/>
    <w:rsid w:val="00371557"/>
    <w:rsid w:val="003716CE"/>
    <w:rsid w:val="00371A87"/>
    <w:rsid w:val="00372AA6"/>
    <w:rsid w:val="00373CD0"/>
    <w:rsid w:val="0037464F"/>
    <w:rsid w:val="003753B5"/>
    <w:rsid w:val="00377355"/>
    <w:rsid w:val="003774E8"/>
    <w:rsid w:val="003814DB"/>
    <w:rsid w:val="003815DE"/>
    <w:rsid w:val="003837B5"/>
    <w:rsid w:val="00383E20"/>
    <w:rsid w:val="00384031"/>
    <w:rsid w:val="00385434"/>
    <w:rsid w:val="00387540"/>
    <w:rsid w:val="00387A0D"/>
    <w:rsid w:val="0039044E"/>
    <w:rsid w:val="00391729"/>
    <w:rsid w:val="00391D68"/>
    <w:rsid w:val="00392748"/>
    <w:rsid w:val="00395237"/>
    <w:rsid w:val="0039561A"/>
    <w:rsid w:val="00396743"/>
    <w:rsid w:val="00397EC6"/>
    <w:rsid w:val="003B0D55"/>
    <w:rsid w:val="003B189D"/>
    <w:rsid w:val="003B3F46"/>
    <w:rsid w:val="003C1ADD"/>
    <w:rsid w:val="003C2D26"/>
    <w:rsid w:val="003C3C47"/>
    <w:rsid w:val="003C413C"/>
    <w:rsid w:val="003C6569"/>
    <w:rsid w:val="003D03FB"/>
    <w:rsid w:val="003D052E"/>
    <w:rsid w:val="003D0CC9"/>
    <w:rsid w:val="003D56DC"/>
    <w:rsid w:val="003D5E80"/>
    <w:rsid w:val="003D6654"/>
    <w:rsid w:val="003D6775"/>
    <w:rsid w:val="003E4816"/>
    <w:rsid w:val="003E5B9B"/>
    <w:rsid w:val="003E5D7D"/>
    <w:rsid w:val="003E6D9D"/>
    <w:rsid w:val="003F1C69"/>
    <w:rsid w:val="003F2E36"/>
    <w:rsid w:val="003F3CC1"/>
    <w:rsid w:val="003F3FBA"/>
    <w:rsid w:val="003F6936"/>
    <w:rsid w:val="00400354"/>
    <w:rsid w:val="00401162"/>
    <w:rsid w:val="004035DB"/>
    <w:rsid w:val="004036B9"/>
    <w:rsid w:val="00404D76"/>
    <w:rsid w:val="00407F3F"/>
    <w:rsid w:val="00410541"/>
    <w:rsid w:val="004122B5"/>
    <w:rsid w:val="004137BF"/>
    <w:rsid w:val="00413AEE"/>
    <w:rsid w:val="00413CBD"/>
    <w:rsid w:val="00417083"/>
    <w:rsid w:val="00417305"/>
    <w:rsid w:val="00423775"/>
    <w:rsid w:val="00424815"/>
    <w:rsid w:val="00426CE9"/>
    <w:rsid w:val="0043136D"/>
    <w:rsid w:val="004320EB"/>
    <w:rsid w:val="00434E81"/>
    <w:rsid w:val="00436467"/>
    <w:rsid w:val="00442A60"/>
    <w:rsid w:val="00442AAD"/>
    <w:rsid w:val="00450BB4"/>
    <w:rsid w:val="004515CA"/>
    <w:rsid w:val="00452448"/>
    <w:rsid w:val="00453A84"/>
    <w:rsid w:val="00454D17"/>
    <w:rsid w:val="00455752"/>
    <w:rsid w:val="00456764"/>
    <w:rsid w:val="00457D6E"/>
    <w:rsid w:val="00460F50"/>
    <w:rsid w:val="004625B5"/>
    <w:rsid w:val="004632B8"/>
    <w:rsid w:val="004645F4"/>
    <w:rsid w:val="00465F50"/>
    <w:rsid w:val="004660D3"/>
    <w:rsid w:val="00466AAC"/>
    <w:rsid w:val="004676E1"/>
    <w:rsid w:val="004720BC"/>
    <w:rsid w:val="00472A5D"/>
    <w:rsid w:val="00475ADF"/>
    <w:rsid w:val="0047682E"/>
    <w:rsid w:val="004802AF"/>
    <w:rsid w:val="004806B0"/>
    <w:rsid w:val="00484620"/>
    <w:rsid w:val="00487023"/>
    <w:rsid w:val="00487A86"/>
    <w:rsid w:val="00487A99"/>
    <w:rsid w:val="00490518"/>
    <w:rsid w:val="004908F6"/>
    <w:rsid w:val="00492403"/>
    <w:rsid w:val="004A181E"/>
    <w:rsid w:val="004A6F03"/>
    <w:rsid w:val="004B03AE"/>
    <w:rsid w:val="004B1072"/>
    <w:rsid w:val="004B10EA"/>
    <w:rsid w:val="004B41F0"/>
    <w:rsid w:val="004B4471"/>
    <w:rsid w:val="004B51EE"/>
    <w:rsid w:val="004B681E"/>
    <w:rsid w:val="004C005F"/>
    <w:rsid w:val="004C4158"/>
    <w:rsid w:val="004C52B9"/>
    <w:rsid w:val="004C6909"/>
    <w:rsid w:val="004C73E2"/>
    <w:rsid w:val="004D0DEB"/>
    <w:rsid w:val="004E070B"/>
    <w:rsid w:val="004E0E22"/>
    <w:rsid w:val="004E5B46"/>
    <w:rsid w:val="004E5DF0"/>
    <w:rsid w:val="004E6170"/>
    <w:rsid w:val="004E6912"/>
    <w:rsid w:val="004E792C"/>
    <w:rsid w:val="004F0546"/>
    <w:rsid w:val="004F15F8"/>
    <w:rsid w:val="004F1CBE"/>
    <w:rsid w:val="004F2BDC"/>
    <w:rsid w:val="00501C85"/>
    <w:rsid w:val="00503B3A"/>
    <w:rsid w:val="0051397D"/>
    <w:rsid w:val="005169F8"/>
    <w:rsid w:val="00517CD7"/>
    <w:rsid w:val="00520934"/>
    <w:rsid w:val="005235FA"/>
    <w:rsid w:val="005251C2"/>
    <w:rsid w:val="005255EB"/>
    <w:rsid w:val="0053045D"/>
    <w:rsid w:val="00530C01"/>
    <w:rsid w:val="0053297D"/>
    <w:rsid w:val="00533326"/>
    <w:rsid w:val="005335AD"/>
    <w:rsid w:val="00535733"/>
    <w:rsid w:val="0053743A"/>
    <w:rsid w:val="005405DE"/>
    <w:rsid w:val="005405E1"/>
    <w:rsid w:val="005413F6"/>
    <w:rsid w:val="00542637"/>
    <w:rsid w:val="0054342D"/>
    <w:rsid w:val="005455CE"/>
    <w:rsid w:val="00546226"/>
    <w:rsid w:val="005510CF"/>
    <w:rsid w:val="00552BA3"/>
    <w:rsid w:val="00553A14"/>
    <w:rsid w:val="00553D93"/>
    <w:rsid w:val="0055470B"/>
    <w:rsid w:val="00555D61"/>
    <w:rsid w:val="005617FD"/>
    <w:rsid w:val="00565364"/>
    <w:rsid w:val="00571E9C"/>
    <w:rsid w:val="00573E05"/>
    <w:rsid w:val="005802EB"/>
    <w:rsid w:val="005825FE"/>
    <w:rsid w:val="00582ECE"/>
    <w:rsid w:val="005839AE"/>
    <w:rsid w:val="00583F1F"/>
    <w:rsid w:val="00590632"/>
    <w:rsid w:val="00591CA0"/>
    <w:rsid w:val="005920B4"/>
    <w:rsid w:val="00592314"/>
    <w:rsid w:val="00595250"/>
    <w:rsid w:val="00595350"/>
    <w:rsid w:val="00596F59"/>
    <w:rsid w:val="00596FC3"/>
    <w:rsid w:val="00597A0A"/>
    <w:rsid w:val="005A0F8F"/>
    <w:rsid w:val="005A3234"/>
    <w:rsid w:val="005A35C6"/>
    <w:rsid w:val="005A52A0"/>
    <w:rsid w:val="005A5E11"/>
    <w:rsid w:val="005B17E0"/>
    <w:rsid w:val="005B410C"/>
    <w:rsid w:val="005B4BA3"/>
    <w:rsid w:val="005C07CB"/>
    <w:rsid w:val="005C247F"/>
    <w:rsid w:val="005C363D"/>
    <w:rsid w:val="005C40F0"/>
    <w:rsid w:val="005D0F4E"/>
    <w:rsid w:val="005D10B9"/>
    <w:rsid w:val="005D1E02"/>
    <w:rsid w:val="005D1E85"/>
    <w:rsid w:val="005D6A38"/>
    <w:rsid w:val="005D7EEB"/>
    <w:rsid w:val="005E0810"/>
    <w:rsid w:val="005E09D9"/>
    <w:rsid w:val="005E3087"/>
    <w:rsid w:val="005E37C8"/>
    <w:rsid w:val="005E3F2F"/>
    <w:rsid w:val="005E3FAE"/>
    <w:rsid w:val="005E5FB5"/>
    <w:rsid w:val="005F01BE"/>
    <w:rsid w:val="005F2F5B"/>
    <w:rsid w:val="005F5109"/>
    <w:rsid w:val="005F5D01"/>
    <w:rsid w:val="005F6134"/>
    <w:rsid w:val="005F76AC"/>
    <w:rsid w:val="0060293A"/>
    <w:rsid w:val="006044E4"/>
    <w:rsid w:val="0060584C"/>
    <w:rsid w:val="006064AC"/>
    <w:rsid w:val="006068F2"/>
    <w:rsid w:val="00612A0F"/>
    <w:rsid w:val="00613436"/>
    <w:rsid w:val="0061434F"/>
    <w:rsid w:val="00614B3D"/>
    <w:rsid w:val="006156FF"/>
    <w:rsid w:val="00616DF6"/>
    <w:rsid w:val="006172E1"/>
    <w:rsid w:val="006204E9"/>
    <w:rsid w:val="0062072F"/>
    <w:rsid w:val="0062166F"/>
    <w:rsid w:val="006253B9"/>
    <w:rsid w:val="006255DA"/>
    <w:rsid w:val="0062605A"/>
    <w:rsid w:val="00632046"/>
    <w:rsid w:val="006325C3"/>
    <w:rsid w:val="00634728"/>
    <w:rsid w:val="006356F8"/>
    <w:rsid w:val="006431F8"/>
    <w:rsid w:val="006436B0"/>
    <w:rsid w:val="00643D14"/>
    <w:rsid w:val="00643E37"/>
    <w:rsid w:val="00645274"/>
    <w:rsid w:val="006457F9"/>
    <w:rsid w:val="00645A27"/>
    <w:rsid w:val="00645F3C"/>
    <w:rsid w:val="006465AD"/>
    <w:rsid w:val="00646690"/>
    <w:rsid w:val="00647C3B"/>
    <w:rsid w:val="00647D21"/>
    <w:rsid w:val="00651D63"/>
    <w:rsid w:val="00653A91"/>
    <w:rsid w:val="006549A4"/>
    <w:rsid w:val="0065569F"/>
    <w:rsid w:val="00657217"/>
    <w:rsid w:val="0066370A"/>
    <w:rsid w:val="0066452B"/>
    <w:rsid w:val="00664F05"/>
    <w:rsid w:val="00665FB6"/>
    <w:rsid w:val="00666777"/>
    <w:rsid w:val="006708D4"/>
    <w:rsid w:val="00671F6D"/>
    <w:rsid w:val="00672259"/>
    <w:rsid w:val="0067587E"/>
    <w:rsid w:val="006809B3"/>
    <w:rsid w:val="00682F96"/>
    <w:rsid w:val="00684532"/>
    <w:rsid w:val="00686010"/>
    <w:rsid w:val="006879BA"/>
    <w:rsid w:val="0069066D"/>
    <w:rsid w:val="00690E07"/>
    <w:rsid w:val="006A0496"/>
    <w:rsid w:val="006A3FFC"/>
    <w:rsid w:val="006B1D0E"/>
    <w:rsid w:val="006B515D"/>
    <w:rsid w:val="006C1B89"/>
    <w:rsid w:val="006C3E62"/>
    <w:rsid w:val="006C6932"/>
    <w:rsid w:val="006D0D4D"/>
    <w:rsid w:val="006D2738"/>
    <w:rsid w:val="006D3DC5"/>
    <w:rsid w:val="006D432A"/>
    <w:rsid w:val="006D47BE"/>
    <w:rsid w:val="006D5024"/>
    <w:rsid w:val="006D559B"/>
    <w:rsid w:val="006E21A0"/>
    <w:rsid w:val="006E2384"/>
    <w:rsid w:val="006E430F"/>
    <w:rsid w:val="006E6256"/>
    <w:rsid w:val="006E7B21"/>
    <w:rsid w:val="006F06DB"/>
    <w:rsid w:val="006F0903"/>
    <w:rsid w:val="006F0AB5"/>
    <w:rsid w:val="006F5581"/>
    <w:rsid w:val="006F6037"/>
    <w:rsid w:val="006F7876"/>
    <w:rsid w:val="006F7AD0"/>
    <w:rsid w:val="006F7B12"/>
    <w:rsid w:val="006F7BF4"/>
    <w:rsid w:val="007036CA"/>
    <w:rsid w:val="00704C77"/>
    <w:rsid w:val="00710250"/>
    <w:rsid w:val="0071211A"/>
    <w:rsid w:val="0071370D"/>
    <w:rsid w:val="00713C77"/>
    <w:rsid w:val="007148E3"/>
    <w:rsid w:val="00714E3F"/>
    <w:rsid w:val="00715366"/>
    <w:rsid w:val="007158B4"/>
    <w:rsid w:val="00715EFF"/>
    <w:rsid w:val="00716C2D"/>
    <w:rsid w:val="00720E8D"/>
    <w:rsid w:val="007237A2"/>
    <w:rsid w:val="007237E8"/>
    <w:rsid w:val="00724C3B"/>
    <w:rsid w:val="00724CFD"/>
    <w:rsid w:val="00724FAA"/>
    <w:rsid w:val="00725FF5"/>
    <w:rsid w:val="00732839"/>
    <w:rsid w:val="007345D8"/>
    <w:rsid w:val="00734EDC"/>
    <w:rsid w:val="00740B78"/>
    <w:rsid w:val="00742CA2"/>
    <w:rsid w:val="00743FB0"/>
    <w:rsid w:val="00744E7F"/>
    <w:rsid w:val="007464F2"/>
    <w:rsid w:val="00755732"/>
    <w:rsid w:val="0076139E"/>
    <w:rsid w:val="0076163C"/>
    <w:rsid w:val="00762315"/>
    <w:rsid w:val="00762E8C"/>
    <w:rsid w:val="00763EB8"/>
    <w:rsid w:val="00765BDB"/>
    <w:rsid w:val="00767FD9"/>
    <w:rsid w:val="00770118"/>
    <w:rsid w:val="00771240"/>
    <w:rsid w:val="007716D9"/>
    <w:rsid w:val="00774DB2"/>
    <w:rsid w:val="00776CAB"/>
    <w:rsid w:val="00780109"/>
    <w:rsid w:val="00781015"/>
    <w:rsid w:val="007826FF"/>
    <w:rsid w:val="00783B89"/>
    <w:rsid w:val="007912F2"/>
    <w:rsid w:val="0079205D"/>
    <w:rsid w:val="00793C26"/>
    <w:rsid w:val="00794178"/>
    <w:rsid w:val="00794FB9"/>
    <w:rsid w:val="007A15AF"/>
    <w:rsid w:val="007A276C"/>
    <w:rsid w:val="007A530F"/>
    <w:rsid w:val="007A557D"/>
    <w:rsid w:val="007A61B9"/>
    <w:rsid w:val="007A65E7"/>
    <w:rsid w:val="007A7A18"/>
    <w:rsid w:val="007B101F"/>
    <w:rsid w:val="007B22FC"/>
    <w:rsid w:val="007B4F0C"/>
    <w:rsid w:val="007B5E1D"/>
    <w:rsid w:val="007B62FE"/>
    <w:rsid w:val="007B76C5"/>
    <w:rsid w:val="007B7A95"/>
    <w:rsid w:val="007C0035"/>
    <w:rsid w:val="007C0589"/>
    <w:rsid w:val="007D5A86"/>
    <w:rsid w:val="007E2586"/>
    <w:rsid w:val="007E4201"/>
    <w:rsid w:val="007E473D"/>
    <w:rsid w:val="007E75A9"/>
    <w:rsid w:val="007F416D"/>
    <w:rsid w:val="007F74C6"/>
    <w:rsid w:val="00800AC6"/>
    <w:rsid w:val="0080240E"/>
    <w:rsid w:val="00803261"/>
    <w:rsid w:val="008062D9"/>
    <w:rsid w:val="00810A08"/>
    <w:rsid w:val="00810C56"/>
    <w:rsid w:val="008112E2"/>
    <w:rsid w:val="00814CB0"/>
    <w:rsid w:val="0081636C"/>
    <w:rsid w:val="008216DA"/>
    <w:rsid w:val="00821E7D"/>
    <w:rsid w:val="00822145"/>
    <w:rsid w:val="0082354F"/>
    <w:rsid w:val="00832E6A"/>
    <w:rsid w:val="00832F46"/>
    <w:rsid w:val="00833600"/>
    <w:rsid w:val="008355F5"/>
    <w:rsid w:val="00835CE5"/>
    <w:rsid w:val="00842FC0"/>
    <w:rsid w:val="00843430"/>
    <w:rsid w:val="008449D5"/>
    <w:rsid w:val="008449F4"/>
    <w:rsid w:val="00845911"/>
    <w:rsid w:val="00845C3F"/>
    <w:rsid w:val="00845C77"/>
    <w:rsid w:val="0085518D"/>
    <w:rsid w:val="0085550D"/>
    <w:rsid w:val="0085571D"/>
    <w:rsid w:val="00861377"/>
    <w:rsid w:val="00863C66"/>
    <w:rsid w:val="0086503C"/>
    <w:rsid w:val="00865188"/>
    <w:rsid w:val="0087006E"/>
    <w:rsid w:val="00870201"/>
    <w:rsid w:val="00870285"/>
    <w:rsid w:val="008735C3"/>
    <w:rsid w:val="00873B43"/>
    <w:rsid w:val="00874A51"/>
    <w:rsid w:val="00874E6C"/>
    <w:rsid w:val="00876B86"/>
    <w:rsid w:val="00876FD7"/>
    <w:rsid w:val="00880E53"/>
    <w:rsid w:val="00882BE9"/>
    <w:rsid w:val="00885644"/>
    <w:rsid w:val="00885A3F"/>
    <w:rsid w:val="00886628"/>
    <w:rsid w:val="008904B7"/>
    <w:rsid w:val="00892E00"/>
    <w:rsid w:val="00892F10"/>
    <w:rsid w:val="008940FF"/>
    <w:rsid w:val="00894954"/>
    <w:rsid w:val="00895744"/>
    <w:rsid w:val="008A035A"/>
    <w:rsid w:val="008A0503"/>
    <w:rsid w:val="008A1E91"/>
    <w:rsid w:val="008A39BC"/>
    <w:rsid w:val="008A4268"/>
    <w:rsid w:val="008B061A"/>
    <w:rsid w:val="008B0F07"/>
    <w:rsid w:val="008B0FCF"/>
    <w:rsid w:val="008B3E30"/>
    <w:rsid w:val="008B60E1"/>
    <w:rsid w:val="008B799C"/>
    <w:rsid w:val="008C13D6"/>
    <w:rsid w:val="008C20FC"/>
    <w:rsid w:val="008C28FC"/>
    <w:rsid w:val="008C2C95"/>
    <w:rsid w:val="008C4337"/>
    <w:rsid w:val="008C4580"/>
    <w:rsid w:val="008C683C"/>
    <w:rsid w:val="008C6B0B"/>
    <w:rsid w:val="008D0273"/>
    <w:rsid w:val="008D2872"/>
    <w:rsid w:val="008D3158"/>
    <w:rsid w:val="008D35C3"/>
    <w:rsid w:val="008D67CC"/>
    <w:rsid w:val="008D7313"/>
    <w:rsid w:val="008E0AEF"/>
    <w:rsid w:val="008E25C4"/>
    <w:rsid w:val="008E433B"/>
    <w:rsid w:val="008E4E7E"/>
    <w:rsid w:val="008E5B9F"/>
    <w:rsid w:val="008E78B7"/>
    <w:rsid w:val="008F213B"/>
    <w:rsid w:val="008F4598"/>
    <w:rsid w:val="008F6624"/>
    <w:rsid w:val="00902A7D"/>
    <w:rsid w:val="00903D34"/>
    <w:rsid w:val="009056FE"/>
    <w:rsid w:val="00905E6D"/>
    <w:rsid w:val="00910CF8"/>
    <w:rsid w:val="00914A50"/>
    <w:rsid w:val="00915381"/>
    <w:rsid w:val="00917F3A"/>
    <w:rsid w:val="00925F08"/>
    <w:rsid w:val="009357C3"/>
    <w:rsid w:val="0093669F"/>
    <w:rsid w:val="00936E98"/>
    <w:rsid w:val="00943257"/>
    <w:rsid w:val="009433EE"/>
    <w:rsid w:val="00943517"/>
    <w:rsid w:val="00943DCC"/>
    <w:rsid w:val="0094499D"/>
    <w:rsid w:val="0094577F"/>
    <w:rsid w:val="00946FA3"/>
    <w:rsid w:val="0095376C"/>
    <w:rsid w:val="00954E70"/>
    <w:rsid w:val="00955121"/>
    <w:rsid w:val="00955ACC"/>
    <w:rsid w:val="0095673E"/>
    <w:rsid w:val="009568EA"/>
    <w:rsid w:val="0096392E"/>
    <w:rsid w:val="00963A21"/>
    <w:rsid w:val="00964D21"/>
    <w:rsid w:val="00966302"/>
    <w:rsid w:val="00967B47"/>
    <w:rsid w:val="009746A9"/>
    <w:rsid w:val="0097541B"/>
    <w:rsid w:val="00976B21"/>
    <w:rsid w:val="00977A20"/>
    <w:rsid w:val="00980824"/>
    <w:rsid w:val="00981205"/>
    <w:rsid w:val="00983F09"/>
    <w:rsid w:val="009861B4"/>
    <w:rsid w:val="00986A1C"/>
    <w:rsid w:val="00991934"/>
    <w:rsid w:val="00993C9B"/>
    <w:rsid w:val="00994CA8"/>
    <w:rsid w:val="00996F4B"/>
    <w:rsid w:val="009A00B6"/>
    <w:rsid w:val="009A0508"/>
    <w:rsid w:val="009A066B"/>
    <w:rsid w:val="009A08FD"/>
    <w:rsid w:val="009A2124"/>
    <w:rsid w:val="009A4264"/>
    <w:rsid w:val="009A430D"/>
    <w:rsid w:val="009A5FF3"/>
    <w:rsid w:val="009B083D"/>
    <w:rsid w:val="009B1E23"/>
    <w:rsid w:val="009B223B"/>
    <w:rsid w:val="009B30AB"/>
    <w:rsid w:val="009B370B"/>
    <w:rsid w:val="009B5C76"/>
    <w:rsid w:val="009B672F"/>
    <w:rsid w:val="009B757E"/>
    <w:rsid w:val="009B7FA7"/>
    <w:rsid w:val="009C0853"/>
    <w:rsid w:val="009C0EC5"/>
    <w:rsid w:val="009C2F90"/>
    <w:rsid w:val="009C2FF5"/>
    <w:rsid w:val="009C405A"/>
    <w:rsid w:val="009C4117"/>
    <w:rsid w:val="009C4FE2"/>
    <w:rsid w:val="009C61D9"/>
    <w:rsid w:val="009C716F"/>
    <w:rsid w:val="009C730E"/>
    <w:rsid w:val="009C73D0"/>
    <w:rsid w:val="009D57BD"/>
    <w:rsid w:val="009D662B"/>
    <w:rsid w:val="009D6FCE"/>
    <w:rsid w:val="009E0554"/>
    <w:rsid w:val="009E0BF2"/>
    <w:rsid w:val="009E0F26"/>
    <w:rsid w:val="009E1010"/>
    <w:rsid w:val="009E1CC9"/>
    <w:rsid w:val="009E35EF"/>
    <w:rsid w:val="009F0569"/>
    <w:rsid w:val="009F2F43"/>
    <w:rsid w:val="009F4520"/>
    <w:rsid w:val="009F5342"/>
    <w:rsid w:val="009F714A"/>
    <w:rsid w:val="009F7254"/>
    <w:rsid w:val="009F7717"/>
    <w:rsid w:val="00A02735"/>
    <w:rsid w:val="00A05E79"/>
    <w:rsid w:val="00A0792F"/>
    <w:rsid w:val="00A07B9D"/>
    <w:rsid w:val="00A1081F"/>
    <w:rsid w:val="00A1399D"/>
    <w:rsid w:val="00A17835"/>
    <w:rsid w:val="00A203E5"/>
    <w:rsid w:val="00A21081"/>
    <w:rsid w:val="00A239DE"/>
    <w:rsid w:val="00A23F1F"/>
    <w:rsid w:val="00A24F41"/>
    <w:rsid w:val="00A26D34"/>
    <w:rsid w:val="00A32327"/>
    <w:rsid w:val="00A32C64"/>
    <w:rsid w:val="00A33ACD"/>
    <w:rsid w:val="00A34696"/>
    <w:rsid w:val="00A4079D"/>
    <w:rsid w:val="00A407A4"/>
    <w:rsid w:val="00A41146"/>
    <w:rsid w:val="00A43108"/>
    <w:rsid w:val="00A44145"/>
    <w:rsid w:val="00A44ACD"/>
    <w:rsid w:val="00A452C9"/>
    <w:rsid w:val="00A45AD0"/>
    <w:rsid w:val="00A45BEE"/>
    <w:rsid w:val="00A45FCC"/>
    <w:rsid w:val="00A478DC"/>
    <w:rsid w:val="00A5148C"/>
    <w:rsid w:val="00A51D81"/>
    <w:rsid w:val="00A53411"/>
    <w:rsid w:val="00A53C5F"/>
    <w:rsid w:val="00A554EF"/>
    <w:rsid w:val="00A57F24"/>
    <w:rsid w:val="00A6059E"/>
    <w:rsid w:val="00A6095D"/>
    <w:rsid w:val="00A6098D"/>
    <w:rsid w:val="00A60ED2"/>
    <w:rsid w:val="00A616B5"/>
    <w:rsid w:val="00A61971"/>
    <w:rsid w:val="00A62C20"/>
    <w:rsid w:val="00A66443"/>
    <w:rsid w:val="00A72B70"/>
    <w:rsid w:val="00A72FFF"/>
    <w:rsid w:val="00A734D4"/>
    <w:rsid w:val="00A74DEB"/>
    <w:rsid w:val="00A81A48"/>
    <w:rsid w:val="00A81BFA"/>
    <w:rsid w:val="00A82697"/>
    <w:rsid w:val="00A82AE8"/>
    <w:rsid w:val="00A82F4D"/>
    <w:rsid w:val="00A8432A"/>
    <w:rsid w:val="00A84A09"/>
    <w:rsid w:val="00A85402"/>
    <w:rsid w:val="00A85C05"/>
    <w:rsid w:val="00A85FCC"/>
    <w:rsid w:val="00A91AD7"/>
    <w:rsid w:val="00A95466"/>
    <w:rsid w:val="00A95CCB"/>
    <w:rsid w:val="00AA0FC0"/>
    <w:rsid w:val="00AA15C9"/>
    <w:rsid w:val="00AA2AF4"/>
    <w:rsid w:val="00AA6689"/>
    <w:rsid w:val="00AA6F7C"/>
    <w:rsid w:val="00AB2FDC"/>
    <w:rsid w:val="00AB3A78"/>
    <w:rsid w:val="00AB3B0B"/>
    <w:rsid w:val="00AB52F6"/>
    <w:rsid w:val="00AB54BA"/>
    <w:rsid w:val="00AB5B15"/>
    <w:rsid w:val="00AB68AF"/>
    <w:rsid w:val="00AB7C3B"/>
    <w:rsid w:val="00AC5816"/>
    <w:rsid w:val="00AC7104"/>
    <w:rsid w:val="00AD3351"/>
    <w:rsid w:val="00AD3A96"/>
    <w:rsid w:val="00AD622B"/>
    <w:rsid w:val="00AE086A"/>
    <w:rsid w:val="00AF3AD5"/>
    <w:rsid w:val="00AF42AB"/>
    <w:rsid w:val="00AF5A60"/>
    <w:rsid w:val="00AF605C"/>
    <w:rsid w:val="00B02723"/>
    <w:rsid w:val="00B02BDF"/>
    <w:rsid w:val="00B11E74"/>
    <w:rsid w:val="00B147B3"/>
    <w:rsid w:val="00B160E6"/>
    <w:rsid w:val="00B16733"/>
    <w:rsid w:val="00B17F42"/>
    <w:rsid w:val="00B2137D"/>
    <w:rsid w:val="00B23815"/>
    <w:rsid w:val="00B250DA"/>
    <w:rsid w:val="00B270B7"/>
    <w:rsid w:val="00B30A37"/>
    <w:rsid w:val="00B333A5"/>
    <w:rsid w:val="00B34235"/>
    <w:rsid w:val="00B34810"/>
    <w:rsid w:val="00B3491D"/>
    <w:rsid w:val="00B35E16"/>
    <w:rsid w:val="00B37B98"/>
    <w:rsid w:val="00B4026E"/>
    <w:rsid w:val="00B41B12"/>
    <w:rsid w:val="00B41D56"/>
    <w:rsid w:val="00B47D66"/>
    <w:rsid w:val="00B50375"/>
    <w:rsid w:val="00B525E5"/>
    <w:rsid w:val="00B629FF"/>
    <w:rsid w:val="00B62A95"/>
    <w:rsid w:val="00B64E85"/>
    <w:rsid w:val="00B6765E"/>
    <w:rsid w:val="00B714E3"/>
    <w:rsid w:val="00B716AD"/>
    <w:rsid w:val="00B75EFD"/>
    <w:rsid w:val="00B76E31"/>
    <w:rsid w:val="00B80345"/>
    <w:rsid w:val="00B8060C"/>
    <w:rsid w:val="00B80A0D"/>
    <w:rsid w:val="00B80E6F"/>
    <w:rsid w:val="00B84479"/>
    <w:rsid w:val="00B84A45"/>
    <w:rsid w:val="00B85BBB"/>
    <w:rsid w:val="00B92BD8"/>
    <w:rsid w:val="00B95976"/>
    <w:rsid w:val="00B9679F"/>
    <w:rsid w:val="00BA0EDE"/>
    <w:rsid w:val="00BA1922"/>
    <w:rsid w:val="00BA20E7"/>
    <w:rsid w:val="00BA3B47"/>
    <w:rsid w:val="00BA3E99"/>
    <w:rsid w:val="00BA5B4C"/>
    <w:rsid w:val="00BA5C18"/>
    <w:rsid w:val="00BA6EBD"/>
    <w:rsid w:val="00BA7BE8"/>
    <w:rsid w:val="00BB40B6"/>
    <w:rsid w:val="00BB4AA1"/>
    <w:rsid w:val="00BC046F"/>
    <w:rsid w:val="00BC4636"/>
    <w:rsid w:val="00BC4AD6"/>
    <w:rsid w:val="00BC7821"/>
    <w:rsid w:val="00BD026C"/>
    <w:rsid w:val="00BD16AF"/>
    <w:rsid w:val="00BD1F59"/>
    <w:rsid w:val="00BD2439"/>
    <w:rsid w:val="00BD78E5"/>
    <w:rsid w:val="00BE01AB"/>
    <w:rsid w:val="00BE20C9"/>
    <w:rsid w:val="00BE623D"/>
    <w:rsid w:val="00BF232B"/>
    <w:rsid w:val="00BF3407"/>
    <w:rsid w:val="00BF5E2C"/>
    <w:rsid w:val="00BF62B0"/>
    <w:rsid w:val="00BF6CA5"/>
    <w:rsid w:val="00BF7910"/>
    <w:rsid w:val="00C0065A"/>
    <w:rsid w:val="00C007D8"/>
    <w:rsid w:val="00C02D51"/>
    <w:rsid w:val="00C04411"/>
    <w:rsid w:val="00C047A4"/>
    <w:rsid w:val="00C06CDD"/>
    <w:rsid w:val="00C0771B"/>
    <w:rsid w:val="00C07BA8"/>
    <w:rsid w:val="00C10DA1"/>
    <w:rsid w:val="00C11899"/>
    <w:rsid w:val="00C11EF1"/>
    <w:rsid w:val="00C12D11"/>
    <w:rsid w:val="00C13FE7"/>
    <w:rsid w:val="00C14242"/>
    <w:rsid w:val="00C14CF3"/>
    <w:rsid w:val="00C15BED"/>
    <w:rsid w:val="00C222B0"/>
    <w:rsid w:val="00C22F4F"/>
    <w:rsid w:val="00C24279"/>
    <w:rsid w:val="00C24A0B"/>
    <w:rsid w:val="00C24B7E"/>
    <w:rsid w:val="00C25A9C"/>
    <w:rsid w:val="00C2697A"/>
    <w:rsid w:val="00C3136B"/>
    <w:rsid w:val="00C325B9"/>
    <w:rsid w:val="00C32F2E"/>
    <w:rsid w:val="00C3692B"/>
    <w:rsid w:val="00C369DA"/>
    <w:rsid w:val="00C4092B"/>
    <w:rsid w:val="00C40B64"/>
    <w:rsid w:val="00C42B2F"/>
    <w:rsid w:val="00C44475"/>
    <w:rsid w:val="00C44C64"/>
    <w:rsid w:val="00C457F8"/>
    <w:rsid w:val="00C477A4"/>
    <w:rsid w:val="00C54843"/>
    <w:rsid w:val="00C553F2"/>
    <w:rsid w:val="00C55A8A"/>
    <w:rsid w:val="00C57E17"/>
    <w:rsid w:val="00C616A1"/>
    <w:rsid w:val="00C61B24"/>
    <w:rsid w:val="00C62B05"/>
    <w:rsid w:val="00C634E7"/>
    <w:rsid w:val="00C63709"/>
    <w:rsid w:val="00C64C4E"/>
    <w:rsid w:val="00C65163"/>
    <w:rsid w:val="00C72A99"/>
    <w:rsid w:val="00C72B84"/>
    <w:rsid w:val="00C72C0B"/>
    <w:rsid w:val="00C73138"/>
    <w:rsid w:val="00C75C9E"/>
    <w:rsid w:val="00C76294"/>
    <w:rsid w:val="00C818E0"/>
    <w:rsid w:val="00C82FD4"/>
    <w:rsid w:val="00C830F5"/>
    <w:rsid w:val="00C838A8"/>
    <w:rsid w:val="00C83EA1"/>
    <w:rsid w:val="00C83F98"/>
    <w:rsid w:val="00C93256"/>
    <w:rsid w:val="00C93768"/>
    <w:rsid w:val="00C947C4"/>
    <w:rsid w:val="00C977EC"/>
    <w:rsid w:val="00C97D67"/>
    <w:rsid w:val="00CA08BD"/>
    <w:rsid w:val="00CA0F08"/>
    <w:rsid w:val="00CA1561"/>
    <w:rsid w:val="00CA1F3F"/>
    <w:rsid w:val="00CA2495"/>
    <w:rsid w:val="00CA3794"/>
    <w:rsid w:val="00CA4E62"/>
    <w:rsid w:val="00CA5C74"/>
    <w:rsid w:val="00CB052A"/>
    <w:rsid w:val="00CB09DB"/>
    <w:rsid w:val="00CB216F"/>
    <w:rsid w:val="00CB2D5D"/>
    <w:rsid w:val="00CB42E8"/>
    <w:rsid w:val="00CB6D20"/>
    <w:rsid w:val="00CC0F69"/>
    <w:rsid w:val="00CC20D9"/>
    <w:rsid w:val="00CC5E68"/>
    <w:rsid w:val="00CC5F28"/>
    <w:rsid w:val="00CC63F3"/>
    <w:rsid w:val="00CC7453"/>
    <w:rsid w:val="00CC7CD6"/>
    <w:rsid w:val="00CD0E0F"/>
    <w:rsid w:val="00CD1C08"/>
    <w:rsid w:val="00CD6466"/>
    <w:rsid w:val="00CD64AA"/>
    <w:rsid w:val="00CD6C88"/>
    <w:rsid w:val="00CD7506"/>
    <w:rsid w:val="00CE2E46"/>
    <w:rsid w:val="00CE5092"/>
    <w:rsid w:val="00CE5724"/>
    <w:rsid w:val="00CE5899"/>
    <w:rsid w:val="00CE7B92"/>
    <w:rsid w:val="00CE7BB5"/>
    <w:rsid w:val="00CF0DFA"/>
    <w:rsid w:val="00CF1AA6"/>
    <w:rsid w:val="00CF2022"/>
    <w:rsid w:val="00CF5C56"/>
    <w:rsid w:val="00CF6A03"/>
    <w:rsid w:val="00CF752B"/>
    <w:rsid w:val="00D00893"/>
    <w:rsid w:val="00D01BC1"/>
    <w:rsid w:val="00D02995"/>
    <w:rsid w:val="00D02C4F"/>
    <w:rsid w:val="00D031E0"/>
    <w:rsid w:val="00D04732"/>
    <w:rsid w:val="00D048DF"/>
    <w:rsid w:val="00D07263"/>
    <w:rsid w:val="00D11044"/>
    <w:rsid w:val="00D111A3"/>
    <w:rsid w:val="00D15858"/>
    <w:rsid w:val="00D24617"/>
    <w:rsid w:val="00D26DFB"/>
    <w:rsid w:val="00D347B5"/>
    <w:rsid w:val="00D358C6"/>
    <w:rsid w:val="00D359E3"/>
    <w:rsid w:val="00D367E1"/>
    <w:rsid w:val="00D41417"/>
    <w:rsid w:val="00D42120"/>
    <w:rsid w:val="00D439CA"/>
    <w:rsid w:val="00D44481"/>
    <w:rsid w:val="00D44A49"/>
    <w:rsid w:val="00D50898"/>
    <w:rsid w:val="00D51467"/>
    <w:rsid w:val="00D53FBC"/>
    <w:rsid w:val="00D541E5"/>
    <w:rsid w:val="00D57399"/>
    <w:rsid w:val="00D60F78"/>
    <w:rsid w:val="00D618EF"/>
    <w:rsid w:val="00D61C65"/>
    <w:rsid w:val="00D640AF"/>
    <w:rsid w:val="00D6479C"/>
    <w:rsid w:val="00D66914"/>
    <w:rsid w:val="00D66BB9"/>
    <w:rsid w:val="00D67D95"/>
    <w:rsid w:val="00D67F6B"/>
    <w:rsid w:val="00D706B3"/>
    <w:rsid w:val="00D726A3"/>
    <w:rsid w:val="00D73116"/>
    <w:rsid w:val="00D73643"/>
    <w:rsid w:val="00D74CBE"/>
    <w:rsid w:val="00D81114"/>
    <w:rsid w:val="00D81ADF"/>
    <w:rsid w:val="00D8324B"/>
    <w:rsid w:val="00D83D08"/>
    <w:rsid w:val="00D85155"/>
    <w:rsid w:val="00D854C3"/>
    <w:rsid w:val="00D90B06"/>
    <w:rsid w:val="00D91680"/>
    <w:rsid w:val="00D91E9D"/>
    <w:rsid w:val="00D93DC7"/>
    <w:rsid w:val="00D94090"/>
    <w:rsid w:val="00D94D02"/>
    <w:rsid w:val="00D94D74"/>
    <w:rsid w:val="00D95935"/>
    <w:rsid w:val="00DA0D4B"/>
    <w:rsid w:val="00DA27A1"/>
    <w:rsid w:val="00DA2E52"/>
    <w:rsid w:val="00DB0EF4"/>
    <w:rsid w:val="00DB2F89"/>
    <w:rsid w:val="00DB48C3"/>
    <w:rsid w:val="00DB6599"/>
    <w:rsid w:val="00DB7E2E"/>
    <w:rsid w:val="00DC17F9"/>
    <w:rsid w:val="00DC32CC"/>
    <w:rsid w:val="00DC4316"/>
    <w:rsid w:val="00DC732C"/>
    <w:rsid w:val="00DD360A"/>
    <w:rsid w:val="00DD39A8"/>
    <w:rsid w:val="00DD4537"/>
    <w:rsid w:val="00DD4EF0"/>
    <w:rsid w:val="00DD6103"/>
    <w:rsid w:val="00DD64A9"/>
    <w:rsid w:val="00DD6724"/>
    <w:rsid w:val="00DE1250"/>
    <w:rsid w:val="00DE25F1"/>
    <w:rsid w:val="00DE5BC9"/>
    <w:rsid w:val="00DE7342"/>
    <w:rsid w:val="00DF101E"/>
    <w:rsid w:val="00DF4206"/>
    <w:rsid w:val="00DF692F"/>
    <w:rsid w:val="00E042B9"/>
    <w:rsid w:val="00E061AB"/>
    <w:rsid w:val="00E0629F"/>
    <w:rsid w:val="00E06CFA"/>
    <w:rsid w:val="00E0794E"/>
    <w:rsid w:val="00E10901"/>
    <w:rsid w:val="00E10D36"/>
    <w:rsid w:val="00E1148B"/>
    <w:rsid w:val="00E13270"/>
    <w:rsid w:val="00E14F34"/>
    <w:rsid w:val="00E15126"/>
    <w:rsid w:val="00E15A92"/>
    <w:rsid w:val="00E1634C"/>
    <w:rsid w:val="00E16453"/>
    <w:rsid w:val="00E1649C"/>
    <w:rsid w:val="00E1698A"/>
    <w:rsid w:val="00E17B2F"/>
    <w:rsid w:val="00E21AE9"/>
    <w:rsid w:val="00E23DAC"/>
    <w:rsid w:val="00E23E69"/>
    <w:rsid w:val="00E24787"/>
    <w:rsid w:val="00E256EE"/>
    <w:rsid w:val="00E30A0F"/>
    <w:rsid w:val="00E310B5"/>
    <w:rsid w:val="00E31FC9"/>
    <w:rsid w:val="00E3381B"/>
    <w:rsid w:val="00E33AA2"/>
    <w:rsid w:val="00E33E69"/>
    <w:rsid w:val="00E34444"/>
    <w:rsid w:val="00E34972"/>
    <w:rsid w:val="00E37C95"/>
    <w:rsid w:val="00E42BA5"/>
    <w:rsid w:val="00E42DFF"/>
    <w:rsid w:val="00E43938"/>
    <w:rsid w:val="00E44F3D"/>
    <w:rsid w:val="00E452C5"/>
    <w:rsid w:val="00E510FA"/>
    <w:rsid w:val="00E532BA"/>
    <w:rsid w:val="00E53701"/>
    <w:rsid w:val="00E544DF"/>
    <w:rsid w:val="00E56CB2"/>
    <w:rsid w:val="00E56F44"/>
    <w:rsid w:val="00E576BB"/>
    <w:rsid w:val="00E579DE"/>
    <w:rsid w:val="00E60581"/>
    <w:rsid w:val="00E60612"/>
    <w:rsid w:val="00E62290"/>
    <w:rsid w:val="00E71637"/>
    <w:rsid w:val="00E716B2"/>
    <w:rsid w:val="00E72530"/>
    <w:rsid w:val="00E72918"/>
    <w:rsid w:val="00E72FD3"/>
    <w:rsid w:val="00E7339D"/>
    <w:rsid w:val="00E73C49"/>
    <w:rsid w:val="00E74C94"/>
    <w:rsid w:val="00E77D21"/>
    <w:rsid w:val="00E77ED9"/>
    <w:rsid w:val="00E806E9"/>
    <w:rsid w:val="00E82B84"/>
    <w:rsid w:val="00E86C7E"/>
    <w:rsid w:val="00E9239A"/>
    <w:rsid w:val="00E93B68"/>
    <w:rsid w:val="00E9485E"/>
    <w:rsid w:val="00E961BD"/>
    <w:rsid w:val="00EA01DE"/>
    <w:rsid w:val="00EA10D2"/>
    <w:rsid w:val="00EA44BF"/>
    <w:rsid w:val="00EA5E06"/>
    <w:rsid w:val="00EA6ED5"/>
    <w:rsid w:val="00EB33CE"/>
    <w:rsid w:val="00EB4556"/>
    <w:rsid w:val="00EB5C68"/>
    <w:rsid w:val="00EB6337"/>
    <w:rsid w:val="00EB7031"/>
    <w:rsid w:val="00EB7094"/>
    <w:rsid w:val="00EC20FB"/>
    <w:rsid w:val="00EC31DE"/>
    <w:rsid w:val="00ED01AA"/>
    <w:rsid w:val="00ED0858"/>
    <w:rsid w:val="00ED16D9"/>
    <w:rsid w:val="00ED1CE5"/>
    <w:rsid w:val="00ED3D34"/>
    <w:rsid w:val="00ED461E"/>
    <w:rsid w:val="00ED5AEA"/>
    <w:rsid w:val="00ED6544"/>
    <w:rsid w:val="00EE05AE"/>
    <w:rsid w:val="00EE1D81"/>
    <w:rsid w:val="00EE36A7"/>
    <w:rsid w:val="00EE3902"/>
    <w:rsid w:val="00EE4548"/>
    <w:rsid w:val="00EE5127"/>
    <w:rsid w:val="00EE5A7E"/>
    <w:rsid w:val="00EF2702"/>
    <w:rsid w:val="00EF3B1A"/>
    <w:rsid w:val="00EF4F25"/>
    <w:rsid w:val="00EF6F49"/>
    <w:rsid w:val="00EF702D"/>
    <w:rsid w:val="00EF74D1"/>
    <w:rsid w:val="00EF7E61"/>
    <w:rsid w:val="00F00B5B"/>
    <w:rsid w:val="00F028FD"/>
    <w:rsid w:val="00F03CF0"/>
    <w:rsid w:val="00F0608B"/>
    <w:rsid w:val="00F1073E"/>
    <w:rsid w:val="00F1126E"/>
    <w:rsid w:val="00F11FA3"/>
    <w:rsid w:val="00F127D4"/>
    <w:rsid w:val="00F13905"/>
    <w:rsid w:val="00F14872"/>
    <w:rsid w:val="00F14A29"/>
    <w:rsid w:val="00F2408E"/>
    <w:rsid w:val="00F24632"/>
    <w:rsid w:val="00F272B9"/>
    <w:rsid w:val="00F27F16"/>
    <w:rsid w:val="00F30A0C"/>
    <w:rsid w:val="00F31395"/>
    <w:rsid w:val="00F336DF"/>
    <w:rsid w:val="00F36BCF"/>
    <w:rsid w:val="00F37470"/>
    <w:rsid w:val="00F402B5"/>
    <w:rsid w:val="00F4215F"/>
    <w:rsid w:val="00F4302B"/>
    <w:rsid w:val="00F451B0"/>
    <w:rsid w:val="00F515C5"/>
    <w:rsid w:val="00F5390F"/>
    <w:rsid w:val="00F54B9E"/>
    <w:rsid w:val="00F56C24"/>
    <w:rsid w:val="00F56F40"/>
    <w:rsid w:val="00F60814"/>
    <w:rsid w:val="00F60CEB"/>
    <w:rsid w:val="00F63B28"/>
    <w:rsid w:val="00F63CAD"/>
    <w:rsid w:val="00F644BB"/>
    <w:rsid w:val="00F73091"/>
    <w:rsid w:val="00F740E3"/>
    <w:rsid w:val="00F7432D"/>
    <w:rsid w:val="00F77BB1"/>
    <w:rsid w:val="00F77D00"/>
    <w:rsid w:val="00F81747"/>
    <w:rsid w:val="00F8488E"/>
    <w:rsid w:val="00F84AF7"/>
    <w:rsid w:val="00F868D6"/>
    <w:rsid w:val="00F87D54"/>
    <w:rsid w:val="00F902A7"/>
    <w:rsid w:val="00F9153B"/>
    <w:rsid w:val="00F91E7D"/>
    <w:rsid w:val="00F97711"/>
    <w:rsid w:val="00F97D06"/>
    <w:rsid w:val="00FA1D69"/>
    <w:rsid w:val="00FA250E"/>
    <w:rsid w:val="00FA38D7"/>
    <w:rsid w:val="00FA4D96"/>
    <w:rsid w:val="00FA65EB"/>
    <w:rsid w:val="00FA750B"/>
    <w:rsid w:val="00FA7DE3"/>
    <w:rsid w:val="00FB77AC"/>
    <w:rsid w:val="00FC59E7"/>
    <w:rsid w:val="00FC60FF"/>
    <w:rsid w:val="00FC6338"/>
    <w:rsid w:val="00FC671D"/>
    <w:rsid w:val="00FC67DF"/>
    <w:rsid w:val="00FC796B"/>
    <w:rsid w:val="00FD0C0C"/>
    <w:rsid w:val="00FD19CE"/>
    <w:rsid w:val="00FD4DB8"/>
    <w:rsid w:val="00FD5464"/>
    <w:rsid w:val="00FE4D17"/>
    <w:rsid w:val="00FE51DA"/>
    <w:rsid w:val="00FE6620"/>
    <w:rsid w:val="00FE76BE"/>
    <w:rsid w:val="00FF066F"/>
    <w:rsid w:val="00FF0E27"/>
    <w:rsid w:val="00FF342E"/>
    <w:rsid w:val="00FF4A26"/>
    <w:rsid w:val="01343594"/>
    <w:rsid w:val="016C5546"/>
    <w:rsid w:val="01C3776E"/>
    <w:rsid w:val="0248AA87"/>
    <w:rsid w:val="038148E3"/>
    <w:rsid w:val="03C6AEBD"/>
    <w:rsid w:val="040AB28A"/>
    <w:rsid w:val="04BD39E6"/>
    <w:rsid w:val="04D3F470"/>
    <w:rsid w:val="05578EF3"/>
    <w:rsid w:val="05A016E5"/>
    <w:rsid w:val="0658406E"/>
    <w:rsid w:val="06792AB4"/>
    <w:rsid w:val="069BE0BF"/>
    <w:rsid w:val="06EBAD04"/>
    <w:rsid w:val="07896209"/>
    <w:rsid w:val="08A86C09"/>
    <w:rsid w:val="0963DB31"/>
    <w:rsid w:val="09856992"/>
    <w:rsid w:val="09925211"/>
    <w:rsid w:val="0A044841"/>
    <w:rsid w:val="0A3F768D"/>
    <w:rsid w:val="0A713400"/>
    <w:rsid w:val="0B2C7B6A"/>
    <w:rsid w:val="0B48FBEF"/>
    <w:rsid w:val="0C5D10B0"/>
    <w:rsid w:val="0CB19837"/>
    <w:rsid w:val="0CE998B2"/>
    <w:rsid w:val="0E3D3B6E"/>
    <w:rsid w:val="0E8CDBD6"/>
    <w:rsid w:val="0EF1D4CC"/>
    <w:rsid w:val="0F11C493"/>
    <w:rsid w:val="0F7A3827"/>
    <w:rsid w:val="0FB98C1F"/>
    <w:rsid w:val="101A9960"/>
    <w:rsid w:val="1030014A"/>
    <w:rsid w:val="10399CF2"/>
    <w:rsid w:val="11346143"/>
    <w:rsid w:val="1174DC30"/>
    <w:rsid w:val="11B27778"/>
    <w:rsid w:val="11D53A82"/>
    <w:rsid w:val="11E12BF5"/>
    <w:rsid w:val="120ADEE5"/>
    <w:rsid w:val="1355011F"/>
    <w:rsid w:val="13CAFA27"/>
    <w:rsid w:val="14656FE6"/>
    <w:rsid w:val="153F8A8A"/>
    <w:rsid w:val="15586B30"/>
    <w:rsid w:val="15C7CD4B"/>
    <w:rsid w:val="15F27A9B"/>
    <w:rsid w:val="1609F71B"/>
    <w:rsid w:val="16AD75E6"/>
    <w:rsid w:val="16CC7DB9"/>
    <w:rsid w:val="170A242E"/>
    <w:rsid w:val="178FF91E"/>
    <w:rsid w:val="181AE4F2"/>
    <w:rsid w:val="1821B8FC"/>
    <w:rsid w:val="18329A69"/>
    <w:rsid w:val="185977A1"/>
    <w:rsid w:val="1B23287B"/>
    <w:rsid w:val="1BBA6C01"/>
    <w:rsid w:val="1C015C24"/>
    <w:rsid w:val="1C33F454"/>
    <w:rsid w:val="1D06DBCA"/>
    <w:rsid w:val="1D0DC59C"/>
    <w:rsid w:val="1D7D3A4A"/>
    <w:rsid w:val="1D9E5E0F"/>
    <w:rsid w:val="1DAB51CA"/>
    <w:rsid w:val="1DBD73BA"/>
    <w:rsid w:val="1DE91EE8"/>
    <w:rsid w:val="1DF846BB"/>
    <w:rsid w:val="1E1BEBF0"/>
    <w:rsid w:val="1E8F9FF6"/>
    <w:rsid w:val="1EA21E0C"/>
    <w:rsid w:val="2026F11F"/>
    <w:rsid w:val="202FB28B"/>
    <w:rsid w:val="203DAD6B"/>
    <w:rsid w:val="2090F905"/>
    <w:rsid w:val="20AB2251"/>
    <w:rsid w:val="2120BFAA"/>
    <w:rsid w:val="212ACA91"/>
    <w:rsid w:val="21592B9D"/>
    <w:rsid w:val="2176A016"/>
    <w:rsid w:val="2210EDD6"/>
    <w:rsid w:val="22A74AB3"/>
    <w:rsid w:val="23F7DCFB"/>
    <w:rsid w:val="2486E313"/>
    <w:rsid w:val="24ED8442"/>
    <w:rsid w:val="25186B4F"/>
    <w:rsid w:val="25CC142E"/>
    <w:rsid w:val="25D7C838"/>
    <w:rsid w:val="265D571F"/>
    <w:rsid w:val="26665630"/>
    <w:rsid w:val="2697052B"/>
    <w:rsid w:val="2699B3AF"/>
    <w:rsid w:val="2767E48F"/>
    <w:rsid w:val="279DE8A8"/>
    <w:rsid w:val="2822A5B3"/>
    <w:rsid w:val="282F8CE8"/>
    <w:rsid w:val="2883C421"/>
    <w:rsid w:val="28BF6CC4"/>
    <w:rsid w:val="2912775C"/>
    <w:rsid w:val="2A7E64D6"/>
    <w:rsid w:val="2AFFEE45"/>
    <w:rsid w:val="2B127F85"/>
    <w:rsid w:val="2BD8871F"/>
    <w:rsid w:val="2D573544"/>
    <w:rsid w:val="2D8ED039"/>
    <w:rsid w:val="2DB60598"/>
    <w:rsid w:val="2DE13B29"/>
    <w:rsid w:val="2E8ADEB2"/>
    <w:rsid w:val="2EF5A0EE"/>
    <w:rsid w:val="2F07733D"/>
    <w:rsid w:val="2F9A545D"/>
    <w:rsid w:val="2FAD0B80"/>
    <w:rsid w:val="2FCBF32B"/>
    <w:rsid w:val="305F6DF1"/>
    <w:rsid w:val="32CA7D2E"/>
    <w:rsid w:val="332BB94E"/>
    <w:rsid w:val="3408BCA7"/>
    <w:rsid w:val="34494C01"/>
    <w:rsid w:val="3459B811"/>
    <w:rsid w:val="347054F3"/>
    <w:rsid w:val="35017BF8"/>
    <w:rsid w:val="356E5435"/>
    <w:rsid w:val="35CCA258"/>
    <w:rsid w:val="3661B7EE"/>
    <w:rsid w:val="36687F5F"/>
    <w:rsid w:val="367BF19F"/>
    <w:rsid w:val="36BC562F"/>
    <w:rsid w:val="3790172F"/>
    <w:rsid w:val="3799B476"/>
    <w:rsid w:val="37A2B3AE"/>
    <w:rsid w:val="37AE127E"/>
    <w:rsid w:val="37E41EC8"/>
    <w:rsid w:val="38029867"/>
    <w:rsid w:val="3835A27C"/>
    <w:rsid w:val="397554C7"/>
    <w:rsid w:val="3A2D81A5"/>
    <w:rsid w:val="3A602618"/>
    <w:rsid w:val="3B24C07A"/>
    <w:rsid w:val="3B36CB33"/>
    <w:rsid w:val="3B4FBD0D"/>
    <w:rsid w:val="3B732673"/>
    <w:rsid w:val="3BC449BE"/>
    <w:rsid w:val="3BE85CD9"/>
    <w:rsid w:val="3C4AE3A1"/>
    <w:rsid w:val="3C68296E"/>
    <w:rsid w:val="3C86AD8B"/>
    <w:rsid w:val="3CFCA693"/>
    <w:rsid w:val="3D7B901B"/>
    <w:rsid w:val="3D95538F"/>
    <w:rsid w:val="3DBAD30A"/>
    <w:rsid w:val="3DFCEBDB"/>
    <w:rsid w:val="3E493D1F"/>
    <w:rsid w:val="3E66DF58"/>
    <w:rsid w:val="3E73DDBC"/>
    <w:rsid w:val="3E838ECB"/>
    <w:rsid w:val="3EA7BA14"/>
    <w:rsid w:val="3F3D2D5D"/>
    <w:rsid w:val="3F56A36B"/>
    <w:rsid w:val="3FD194C5"/>
    <w:rsid w:val="410BB7AA"/>
    <w:rsid w:val="41A60CB7"/>
    <w:rsid w:val="43348D24"/>
    <w:rsid w:val="439421D3"/>
    <w:rsid w:val="43F1F4DC"/>
    <w:rsid w:val="441B808A"/>
    <w:rsid w:val="4492477E"/>
    <w:rsid w:val="44ED4172"/>
    <w:rsid w:val="44F4FA68"/>
    <w:rsid w:val="451DD781"/>
    <w:rsid w:val="45232899"/>
    <w:rsid w:val="4532E7A9"/>
    <w:rsid w:val="45449C74"/>
    <w:rsid w:val="45B1E887"/>
    <w:rsid w:val="45D1706C"/>
    <w:rsid w:val="46275A5B"/>
    <w:rsid w:val="46369CF4"/>
    <w:rsid w:val="46680298"/>
    <w:rsid w:val="472CDAE0"/>
    <w:rsid w:val="47AA4F35"/>
    <w:rsid w:val="47D26D55"/>
    <w:rsid w:val="47E91D46"/>
    <w:rsid w:val="4802892C"/>
    <w:rsid w:val="484B0790"/>
    <w:rsid w:val="4877BFB2"/>
    <w:rsid w:val="48DF69E1"/>
    <w:rsid w:val="49006075"/>
    <w:rsid w:val="491D498F"/>
    <w:rsid w:val="4940D2B4"/>
    <w:rsid w:val="495A1C13"/>
    <w:rsid w:val="49B5F7F5"/>
    <w:rsid w:val="49BB3D57"/>
    <w:rsid w:val="4A2732C3"/>
    <w:rsid w:val="4A3C1C90"/>
    <w:rsid w:val="4A4A2C29"/>
    <w:rsid w:val="4A4F0ED7"/>
    <w:rsid w:val="4A847455"/>
    <w:rsid w:val="4AE1EFF7"/>
    <w:rsid w:val="4B276D20"/>
    <w:rsid w:val="4B997E0D"/>
    <w:rsid w:val="4C2AB5C0"/>
    <w:rsid w:val="4C7DC058"/>
    <w:rsid w:val="4CBD8C48"/>
    <w:rsid w:val="4CEDE304"/>
    <w:rsid w:val="4D052D78"/>
    <w:rsid w:val="4D14A2E2"/>
    <w:rsid w:val="4DCF69A3"/>
    <w:rsid w:val="4DF43497"/>
    <w:rsid w:val="4DF5BEA5"/>
    <w:rsid w:val="4DF940C5"/>
    <w:rsid w:val="4E00F53C"/>
    <w:rsid w:val="4E1990B9"/>
    <w:rsid w:val="4E858B18"/>
    <w:rsid w:val="4E94DDAF"/>
    <w:rsid w:val="4E9DCB5C"/>
    <w:rsid w:val="4F96EBDB"/>
    <w:rsid w:val="502BBB9C"/>
    <w:rsid w:val="5132BC3C"/>
    <w:rsid w:val="51A9A18C"/>
    <w:rsid w:val="51BFF2D7"/>
    <w:rsid w:val="51DC1B78"/>
    <w:rsid w:val="51E3322C"/>
    <w:rsid w:val="520078AD"/>
    <w:rsid w:val="5245B324"/>
    <w:rsid w:val="524F7423"/>
    <w:rsid w:val="5251E91A"/>
    <w:rsid w:val="52F72969"/>
    <w:rsid w:val="53086FD3"/>
    <w:rsid w:val="535C4CB0"/>
    <w:rsid w:val="53818686"/>
    <w:rsid w:val="53D61CA5"/>
    <w:rsid w:val="54815A4C"/>
    <w:rsid w:val="5488D23D"/>
    <w:rsid w:val="54C528F9"/>
    <w:rsid w:val="55579596"/>
    <w:rsid w:val="5607C336"/>
    <w:rsid w:val="5640515D"/>
    <w:rsid w:val="569088BD"/>
    <w:rsid w:val="570F3FAF"/>
    <w:rsid w:val="57186591"/>
    <w:rsid w:val="57439213"/>
    <w:rsid w:val="576D0437"/>
    <w:rsid w:val="577DA512"/>
    <w:rsid w:val="57F83A37"/>
    <w:rsid w:val="58003EEF"/>
    <w:rsid w:val="5807207F"/>
    <w:rsid w:val="582C591E"/>
    <w:rsid w:val="58827218"/>
    <w:rsid w:val="59876FE2"/>
    <w:rsid w:val="599AFBE6"/>
    <w:rsid w:val="59E8EAD3"/>
    <w:rsid w:val="5A43D2A2"/>
    <w:rsid w:val="5AB61C8D"/>
    <w:rsid w:val="5D6E6A10"/>
    <w:rsid w:val="5D6F0B98"/>
    <w:rsid w:val="5E488436"/>
    <w:rsid w:val="5E776DF9"/>
    <w:rsid w:val="5EDAF912"/>
    <w:rsid w:val="5F0EFE1D"/>
    <w:rsid w:val="629A29D2"/>
    <w:rsid w:val="629AE428"/>
    <w:rsid w:val="62ED18E9"/>
    <w:rsid w:val="631CB2D1"/>
    <w:rsid w:val="632660E4"/>
    <w:rsid w:val="63D8735A"/>
    <w:rsid w:val="64031BD5"/>
    <w:rsid w:val="6450ACC8"/>
    <w:rsid w:val="6560F520"/>
    <w:rsid w:val="656E3F7B"/>
    <w:rsid w:val="65CD1F06"/>
    <w:rsid w:val="662CE590"/>
    <w:rsid w:val="6642B3EE"/>
    <w:rsid w:val="666DD2C2"/>
    <w:rsid w:val="671F888B"/>
    <w:rsid w:val="675173DD"/>
    <w:rsid w:val="67884D8A"/>
    <w:rsid w:val="67C8B5F1"/>
    <w:rsid w:val="686EB05A"/>
    <w:rsid w:val="68E26221"/>
    <w:rsid w:val="69B67415"/>
    <w:rsid w:val="69FA08EF"/>
    <w:rsid w:val="6A5DF27B"/>
    <w:rsid w:val="6B55F101"/>
    <w:rsid w:val="6BAAA9BB"/>
    <w:rsid w:val="6BD196F8"/>
    <w:rsid w:val="6C308B97"/>
    <w:rsid w:val="6CC80E72"/>
    <w:rsid w:val="6CDD53CA"/>
    <w:rsid w:val="6D10FC89"/>
    <w:rsid w:val="6D491233"/>
    <w:rsid w:val="6D87E43B"/>
    <w:rsid w:val="6DF088A1"/>
    <w:rsid w:val="6E1ECF18"/>
    <w:rsid w:val="6E203FD1"/>
    <w:rsid w:val="6E4AB676"/>
    <w:rsid w:val="6EDEF07E"/>
    <w:rsid w:val="6F0BFEB7"/>
    <w:rsid w:val="70408AC4"/>
    <w:rsid w:val="7062C772"/>
    <w:rsid w:val="711B00C3"/>
    <w:rsid w:val="7164C647"/>
    <w:rsid w:val="71DB27EB"/>
    <w:rsid w:val="724765AE"/>
    <w:rsid w:val="72556111"/>
    <w:rsid w:val="730DAE32"/>
    <w:rsid w:val="73A66129"/>
    <w:rsid w:val="73B075A9"/>
    <w:rsid w:val="7421F8D6"/>
    <w:rsid w:val="74917034"/>
    <w:rsid w:val="74CACD8F"/>
    <w:rsid w:val="755CA66E"/>
    <w:rsid w:val="7563D775"/>
    <w:rsid w:val="7638376A"/>
    <w:rsid w:val="764687F3"/>
    <w:rsid w:val="769538BE"/>
    <w:rsid w:val="76AEE9FA"/>
    <w:rsid w:val="76C74833"/>
    <w:rsid w:val="770EEB6C"/>
    <w:rsid w:val="7799640C"/>
    <w:rsid w:val="77B30025"/>
    <w:rsid w:val="77C5CBE9"/>
    <w:rsid w:val="7807F569"/>
    <w:rsid w:val="7827F3F7"/>
    <w:rsid w:val="785F13AB"/>
    <w:rsid w:val="78755D1F"/>
    <w:rsid w:val="788F3195"/>
    <w:rsid w:val="78923447"/>
    <w:rsid w:val="78B9665E"/>
    <w:rsid w:val="78B97451"/>
    <w:rsid w:val="78D851A1"/>
    <w:rsid w:val="7934A632"/>
    <w:rsid w:val="796FD82C"/>
    <w:rsid w:val="7999A858"/>
    <w:rsid w:val="79A68B63"/>
    <w:rsid w:val="79ADF881"/>
    <w:rsid w:val="79D1311C"/>
    <w:rsid w:val="7B2B92BC"/>
    <w:rsid w:val="7C3A38C0"/>
    <w:rsid w:val="7C60C470"/>
    <w:rsid w:val="7CA11007"/>
    <w:rsid w:val="7CE20AE7"/>
    <w:rsid w:val="7D6CB560"/>
    <w:rsid w:val="7DC5B4D4"/>
    <w:rsid w:val="7DDC69B1"/>
    <w:rsid w:val="7DE1C859"/>
    <w:rsid w:val="7DE27FC2"/>
    <w:rsid w:val="7E62200E"/>
    <w:rsid w:val="7E701400"/>
    <w:rsid w:val="7E995C15"/>
    <w:rsid w:val="7F170A74"/>
    <w:rsid w:val="7F3FF4EC"/>
    <w:rsid w:val="7F549D33"/>
    <w:rsid w:val="7F666765"/>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733"/>
    <w:pPr>
      <w:spacing w:after="120"/>
    </w:pPr>
  </w:style>
  <w:style w:type="paragraph" w:styleId="Heading1">
    <w:name w:val="heading 1"/>
    <w:basedOn w:val="Normal"/>
    <w:next w:val="Normal"/>
    <w:link w:val="Heading1Char"/>
    <w:uiPriority w:val="9"/>
    <w:qFormat/>
    <w:rsid w:val="001F091F"/>
    <w:pPr>
      <w:pBdr>
        <w:bottom w:val="single" w:sz="18" w:space="1" w:color="007DA3"/>
      </w:pBdr>
      <w:outlineLvl w:val="0"/>
    </w:pPr>
    <w:rPr>
      <w:rFonts w:ascii="Calibri" w:hAnsi="Calibri" w:cs="Calibri"/>
      <w:b/>
      <w:bCs/>
      <w:color w:val="007DA3"/>
      <w:sz w:val="32"/>
      <w:szCs w:val="32"/>
    </w:rPr>
  </w:style>
  <w:style w:type="paragraph" w:styleId="Heading2">
    <w:name w:val="heading 2"/>
    <w:next w:val="Normal"/>
    <w:link w:val="Heading2Char"/>
    <w:uiPriority w:val="9"/>
    <w:unhideWhenUsed/>
    <w:qFormat/>
    <w:rsid w:val="001F091F"/>
    <w:pPr>
      <w:keepNext/>
      <w:keepLines/>
      <w:shd w:val="clear" w:color="auto" w:fill="007DA3"/>
      <w:spacing w:before="240" w:after="120"/>
      <w:ind w:firstLine="144"/>
      <w:outlineLvl w:val="1"/>
    </w:pPr>
    <w:rPr>
      <w:rFonts w:eastAsia="Calibri" w:cstheme="minorHAnsi"/>
      <w:b/>
      <w:color w:val="FFFFFF" w:themeColor="background1"/>
      <w:sz w:val="28"/>
      <w:szCs w:val="44"/>
    </w:rPr>
  </w:style>
  <w:style w:type="paragraph" w:styleId="Heading3">
    <w:name w:val="heading 3"/>
    <w:next w:val="Normal"/>
    <w:link w:val="Heading3Char"/>
    <w:uiPriority w:val="9"/>
    <w:unhideWhenUsed/>
    <w:qFormat/>
    <w:rsid w:val="00205068"/>
    <w:pPr>
      <w:keepNext/>
      <w:keepLines/>
      <w:tabs>
        <w:tab w:val="left" w:pos="8460"/>
        <w:tab w:val="left" w:pos="9090"/>
      </w:tabs>
      <w:spacing w:before="240" w:after="120"/>
      <w:outlineLvl w:val="2"/>
    </w:pPr>
    <w:rPr>
      <w:rFonts w:cstheme="minorHAnsi"/>
      <w:b/>
      <w:bCs/>
      <w:color w:val="007DA3"/>
      <w:sz w:val="26"/>
      <w:szCs w:val="28"/>
    </w:rPr>
  </w:style>
  <w:style w:type="paragraph" w:styleId="Heading4">
    <w:name w:val="heading 4"/>
    <w:basedOn w:val="Normal"/>
    <w:next w:val="Normal"/>
    <w:link w:val="Heading4Char"/>
    <w:uiPriority w:val="9"/>
    <w:unhideWhenUsed/>
    <w:qFormat/>
    <w:rsid w:val="00A05E79"/>
    <w:pPr>
      <w:keepNext/>
      <w:keepLines/>
      <w:spacing w:before="40" w:after="0"/>
      <w:outlineLvl w:val="3"/>
    </w:pPr>
    <w:rPr>
      <w:rFonts w:asciiTheme="majorHAnsi" w:eastAsiaTheme="majorEastAsia" w:hAnsiTheme="majorHAnsi" w:cstheme="majorBidi"/>
      <w:i/>
      <w:iCs/>
      <w:color w:val="005D7A" w:themeColor="accent1" w:themeShade="BF"/>
    </w:rPr>
  </w:style>
  <w:style w:type="paragraph" w:styleId="Heading5">
    <w:name w:val="heading 5"/>
    <w:basedOn w:val="Normal"/>
    <w:next w:val="Normal"/>
    <w:link w:val="Heading5Char"/>
    <w:uiPriority w:val="9"/>
    <w:unhideWhenUsed/>
    <w:qFormat/>
    <w:rsid w:val="00A05E79"/>
    <w:pPr>
      <w:keepNext/>
      <w:keepLines/>
      <w:spacing w:before="40" w:after="0"/>
      <w:outlineLvl w:val="4"/>
    </w:pPr>
    <w:rPr>
      <w:rFonts w:asciiTheme="majorHAnsi" w:eastAsiaTheme="majorEastAsia" w:hAnsiTheme="majorHAnsi" w:cstheme="majorBidi"/>
      <w:color w:val="005D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table" w:styleId="TableGrid">
    <w:name w:val="Table Grid"/>
    <w:basedOn w:val="TableNormal"/>
    <w:uiPriority w:val="5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link w:val="TableTitlesChar"/>
    <w:rsid w:val="008D67CC"/>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8D67CC"/>
    <w:rPr>
      <w:rFonts w:ascii="Calibri" w:eastAsia="Calibri" w:hAnsi="Calibri" w:cs="Times New Roman"/>
      <w:b/>
      <w:bCs/>
      <w:sz w:val="32"/>
      <w:szCs w:val="32"/>
      <w:lang w:bidi="en-US"/>
    </w:rPr>
  </w:style>
  <w:style w:type="character" w:styleId="CommentReference">
    <w:name w:val="annotation reference"/>
    <w:basedOn w:val="DefaultParagraphFont"/>
    <w:uiPriority w:val="99"/>
    <w:semiHidden/>
    <w:unhideWhenUsed/>
    <w:rsid w:val="009D662B"/>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9D662B"/>
    <w:rPr>
      <w:sz w:val="20"/>
      <w:szCs w:val="20"/>
    </w:rPr>
  </w:style>
  <w:style w:type="paragraph" w:styleId="ListParagraph">
    <w:name w:val="List Paragraph"/>
    <w:basedOn w:val="Normal"/>
    <w:uiPriority w:val="1"/>
    <w:qFormat/>
    <w:rsid w:val="002B445A"/>
    <w:pPr>
      <w:ind w:left="720"/>
      <w:contextualSpacing/>
    </w:pPr>
    <w:rPr>
      <w:szCs w:val="22"/>
    </w:r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3F2E36"/>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C83E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EA44BF"/>
    <w:rPr>
      <w:b/>
      <w:bCs/>
      <w:sz w:val="20"/>
      <w:szCs w:val="20"/>
    </w:rPr>
  </w:style>
  <w:style w:type="paragraph" w:styleId="Revision">
    <w:name w:val="Revision"/>
    <w:hidden/>
    <w:uiPriority w:val="99"/>
    <w:semiHidden/>
    <w:rsid w:val="0071211A"/>
  </w:style>
  <w:style w:type="paragraph" w:customStyle="1" w:styleId="paragraph">
    <w:name w:val="paragraph"/>
    <w:basedOn w:val="Normal"/>
    <w:rsid w:val="009E1CC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E1CC9"/>
  </w:style>
  <w:style w:type="character" w:customStyle="1" w:styleId="eop">
    <w:name w:val="eop"/>
    <w:basedOn w:val="DefaultParagraphFont"/>
    <w:rsid w:val="009E1CC9"/>
  </w:style>
  <w:style w:type="character" w:customStyle="1" w:styleId="italic">
    <w:name w:val="italic"/>
    <w:basedOn w:val="DefaultParagraphFont"/>
    <w:rsid w:val="002B3C21"/>
  </w:style>
  <w:style w:type="character" w:customStyle="1" w:styleId="UnresolvedMention2">
    <w:name w:val="Unresolved Mention2"/>
    <w:basedOn w:val="DefaultParagraphFont"/>
    <w:uiPriority w:val="99"/>
    <w:semiHidden/>
    <w:unhideWhenUsed/>
    <w:rsid w:val="002F4483"/>
    <w:rPr>
      <w:color w:val="605E5C"/>
      <w:shd w:val="clear" w:color="auto" w:fill="E1DFDD"/>
    </w:rPr>
  </w:style>
  <w:style w:type="paragraph" w:styleId="Title">
    <w:name w:val="Title"/>
    <w:basedOn w:val="Normal"/>
    <w:next w:val="Normal"/>
    <w:link w:val="TitleChar"/>
    <w:uiPriority w:val="10"/>
    <w:qFormat/>
    <w:rsid w:val="00AA6689"/>
    <w:pPr>
      <w:spacing w:before="240"/>
      <w:ind w:left="2160" w:right="2160"/>
      <w:jc w:val="center"/>
    </w:pPr>
    <w:rPr>
      <w:b/>
      <w:sz w:val="40"/>
      <w:szCs w:val="40"/>
    </w:rPr>
  </w:style>
  <w:style w:type="character" w:customStyle="1" w:styleId="TitleChar">
    <w:name w:val="Title Char"/>
    <w:basedOn w:val="DefaultParagraphFont"/>
    <w:link w:val="Title"/>
    <w:uiPriority w:val="10"/>
    <w:rsid w:val="00AA6689"/>
    <w:rPr>
      <w:b/>
      <w:sz w:val="40"/>
      <w:szCs w:val="40"/>
    </w:rPr>
  </w:style>
  <w:style w:type="paragraph" w:styleId="Subtitle">
    <w:name w:val="Subtitle"/>
    <w:basedOn w:val="Title"/>
    <w:next w:val="Normal"/>
    <w:link w:val="SubtitleChar"/>
    <w:uiPriority w:val="11"/>
    <w:qFormat/>
    <w:rsid w:val="005920B4"/>
    <w:pPr>
      <w:spacing w:before="0" w:after="0"/>
    </w:pPr>
    <w:rPr>
      <w:b w:val="0"/>
      <w:sz w:val="32"/>
      <w:szCs w:val="32"/>
    </w:rPr>
  </w:style>
  <w:style w:type="character" w:customStyle="1" w:styleId="SubtitleChar">
    <w:name w:val="Subtitle Char"/>
    <w:basedOn w:val="DefaultParagraphFont"/>
    <w:link w:val="Subtitle"/>
    <w:uiPriority w:val="11"/>
    <w:rsid w:val="005920B4"/>
    <w:rPr>
      <w:sz w:val="32"/>
      <w:szCs w:val="32"/>
    </w:rPr>
  </w:style>
  <w:style w:type="paragraph" w:customStyle="1" w:styleId="RightColumnFormat">
    <w:name w:val="Right Column Format"/>
    <w:link w:val="RightColumnFormatChar"/>
    <w:rsid w:val="002C7465"/>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6F5581"/>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2C7465"/>
    <w:rPr>
      <w:rFonts w:ascii="Calibri" w:eastAsia="Calibri" w:hAnsi="Calibri" w:cs="Times New Roman"/>
      <w:b/>
      <w:bCs/>
      <w:sz w:val="28"/>
      <w:szCs w:val="28"/>
      <w:lang w:bidi="en-US"/>
    </w:rPr>
  </w:style>
  <w:style w:type="paragraph" w:customStyle="1" w:styleId="FooterText">
    <w:name w:val="Footer Text"/>
    <w:link w:val="FooterTextChar"/>
    <w:rsid w:val="0012621A"/>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6F5581"/>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12621A"/>
    <w:rPr>
      <w:rFonts w:ascii="Calibri" w:eastAsia="Calibri" w:hAnsi="Calibri" w:cs="Times New Roman"/>
      <w:bCs/>
      <w:sz w:val="20"/>
      <w:szCs w:val="20"/>
      <w:lang w:bidi="en-US"/>
    </w:rPr>
  </w:style>
  <w:style w:type="paragraph" w:customStyle="1" w:styleId="HeaderTitle">
    <w:name w:val="Header Title"/>
    <w:link w:val="HeaderTitleChar"/>
    <w:qFormat/>
    <w:rsid w:val="0080240E"/>
    <w:pPr>
      <w:spacing w:before="240" w:after="120"/>
      <w:ind w:left="1440" w:right="1440"/>
      <w:jc w:val="center"/>
    </w:pPr>
    <w:rPr>
      <w:b/>
      <w:noProof/>
      <w:sz w:val="44"/>
      <w:szCs w:val="44"/>
    </w:rPr>
  </w:style>
  <w:style w:type="character" w:customStyle="1" w:styleId="HeaderTitleChar">
    <w:name w:val="Header Title Char"/>
    <w:basedOn w:val="TitleChar"/>
    <w:link w:val="HeaderTitle"/>
    <w:rsid w:val="0080240E"/>
    <w:rPr>
      <w:b/>
      <w:noProof/>
      <w:sz w:val="44"/>
      <w:szCs w:val="44"/>
    </w:rPr>
  </w:style>
  <w:style w:type="character" w:customStyle="1" w:styleId="Heading2Char">
    <w:name w:val="Heading 2 Char"/>
    <w:basedOn w:val="DefaultParagraphFont"/>
    <w:link w:val="Heading2"/>
    <w:uiPriority w:val="9"/>
    <w:rsid w:val="001F091F"/>
    <w:rPr>
      <w:rFonts w:eastAsia="Calibri" w:cstheme="minorHAnsi"/>
      <w:b/>
      <w:color w:val="FFFFFF" w:themeColor="background1"/>
      <w:sz w:val="28"/>
      <w:szCs w:val="44"/>
      <w:shd w:val="clear" w:color="auto" w:fill="007DA3"/>
    </w:rPr>
  </w:style>
  <w:style w:type="character" w:customStyle="1" w:styleId="Heading3Char">
    <w:name w:val="Heading 3 Char"/>
    <w:basedOn w:val="DefaultParagraphFont"/>
    <w:link w:val="Heading3"/>
    <w:uiPriority w:val="9"/>
    <w:rsid w:val="00205068"/>
    <w:rPr>
      <w:rFonts w:cstheme="minorHAnsi"/>
      <w:b/>
      <w:bCs/>
      <w:color w:val="007DA3"/>
      <w:sz w:val="26"/>
      <w:szCs w:val="28"/>
    </w:rPr>
  </w:style>
  <w:style w:type="paragraph" w:customStyle="1" w:styleId="FooterText0">
    <w:name w:val="FooterText"/>
    <w:basedOn w:val="FooterText"/>
    <w:link w:val="FooterTextChar0"/>
    <w:qFormat/>
    <w:rsid w:val="00B85BBB"/>
  </w:style>
  <w:style w:type="character" w:customStyle="1" w:styleId="FooterTextChar0">
    <w:name w:val="FooterText Char"/>
    <w:basedOn w:val="FooterTextChar"/>
    <w:link w:val="FooterText0"/>
    <w:rsid w:val="00B85BBB"/>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1F091F"/>
    <w:rPr>
      <w:rFonts w:ascii="Calibri" w:hAnsi="Calibri" w:cs="Calibri"/>
      <w:b/>
      <w:bCs/>
      <w:color w:val="007DA3"/>
      <w:sz w:val="32"/>
      <w:szCs w:val="32"/>
    </w:rPr>
  </w:style>
  <w:style w:type="character" w:customStyle="1" w:styleId="Heading4Char">
    <w:name w:val="Heading 4 Char"/>
    <w:basedOn w:val="DefaultParagraphFont"/>
    <w:link w:val="Heading4"/>
    <w:uiPriority w:val="9"/>
    <w:rsid w:val="00A05E79"/>
    <w:rPr>
      <w:rFonts w:asciiTheme="majorHAnsi" w:eastAsiaTheme="majorEastAsia" w:hAnsiTheme="majorHAnsi" w:cstheme="majorBidi"/>
      <w:i/>
      <w:iCs/>
      <w:color w:val="005D7A" w:themeColor="accent1" w:themeShade="BF"/>
    </w:rPr>
  </w:style>
  <w:style w:type="character" w:customStyle="1" w:styleId="Heading5Char">
    <w:name w:val="Heading 5 Char"/>
    <w:basedOn w:val="DefaultParagraphFont"/>
    <w:link w:val="Heading5"/>
    <w:uiPriority w:val="9"/>
    <w:rsid w:val="00A05E79"/>
    <w:rPr>
      <w:rFonts w:asciiTheme="majorHAnsi" w:eastAsiaTheme="majorEastAsia" w:hAnsiTheme="majorHAnsi" w:cstheme="majorBidi"/>
      <w:color w:val="005D7A" w:themeColor="accent1" w:themeShade="BF"/>
    </w:rPr>
  </w:style>
  <w:style w:type="character" w:styleId="SubtleEmphasis">
    <w:name w:val="Subtle Emphasis"/>
    <w:basedOn w:val="DefaultParagraphFont"/>
    <w:uiPriority w:val="19"/>
    <w:qFormat/>
    <w:rsid w:val="0016354B"/>
    <w:rPr>
      <w:i/>
      <w:iCs/>
      <w:color w:val="404040" w:themeColor="text1" w:themeTint="BF"/>
    </w:rPr>
  </w:style>
  <w:style w:type="paragraph" w:styleId="BodyText">
    <w:name w:val="Body Text"/>
    <w:basedOn w:val="Normal"/>
    <w:link w:val="BodyTextChar"/>
    <w:uiPriority w:val="1"/>
    <w:qFormat/>
    <w:rsid w:val="001C4AAA"/>
    <w:pPr>
      <w:widowControl w:val="0"/>
      <w:autoSpaceDE w:val="0"/>
      <w:autoSpaceDN w:val="0"/>
      <w:adjustRightInd w:val="0"/>
      <w:spacing w:after="0"/>
    </w:pPr>
    <w:rPr>
      <w:rFonts w:eastAsiaTheme="minorEastAsia" w:cstheme="minorHAnsi"/>
    </w:rPr>
  </w:style>
  <w:style w:type="character" w:customStyle="1" w:styleId="BodyTextChar">
    <w:name w:val="Body Text Char"/>
    <w:basedOn w:val="DefaultParagraphFont"/>
    <w:link w:val="BodyText"/>
    <w:uiPriority w:val="1"/>
    <w:rsid w:val="001C4AAA"/>
    <w:rPr>
      <w:rFonts w:eastAsiaTheme="minorEastAsia" w:cstheme="minorHAnsi"/>
    </w:rPr>
  </w:style>
  <w:style w:type="paragraph" w:customStyle="1" w:styleId="TableParagraph">
    <w:name w:val="Table Paragraph"/>
    <w:basedOn w:val="Normal"/>
    <w:uiPriority w:val="1"/>
    <w:qFormat/>
    <w:rsid w:val="001C4AAA"/>
    <w:pPr>
      <w:widowControl w:val="0"/>
      <w:autoSpaceDE w:val="0"/>
      <w:autoSpaceDN w:val="0"/>
      <w:spacing w:after="0"/>
      <w:ind w:left="180"/>
    </w:pPr>
    <w:rPr>
      <w:rFonts w:ascii="Century Gothic" w:eastAsia="Century Gothic" w:hAnsi="Century Gothic" w:cs="Century Gothic"/>
      <w:sz w:val="22"/>
      <w:szCs w:val="22"/>
      <w:lang w:bidi="en-US"/>
    </w:rPr>
  </w:style>
  <w:style w:type="character" w:styleId="FollowedHyperlink">
    <w:name w:val="FollowedHyperlink"/>
    <w:basedOn w:val="DefaultParagraphFont"/>
    <w:uiPriority w:val="99"/>
    <w:semiHidden/>
    <w:unhideWhenUsed/>
    <w:rsid w:val="00647D21"/>
    <w:rPr>
      <w:color w:val="954F72" w:themeColor="followedHyperlink"/>
      <w:u w:val="single"/>
    </w:rPr>
  </w:style>
  <w:style w:type="character" w:styleId="UnresolvedMention">
    <w:name w:val="Unresolved Mention"/>
    <w:basedOn w:val="DefaultParagraphFont"/>
    <w:uiPriority w:val="99"/>
    <w:semiHidden/>
    <w:unhideWhenUsed/>
    <w:rsid w:val="00C4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0942872">
      <w:bodyDiv w:val="1"/>
      <w:marLeft w:val="0"/>
      <w:marRight w:val="0"/>
      <w:marTop w:val="0"/>
      <w:marBottom w:val="0"/>
      <w:divBdr>
        <w:top w:val="none" w:sz="0" w:space="0" w:color="auto"/>
        <w:left w:val="none" w:sz="0" w:space="0" w:color="auto"/>
        <w:bottom w:val="none" w:sz="0" w:space="0" w:color="auto"/>
        <w:right w:val="none" w:sz="0" w:space="0" w:color="auto"/>
      </w:divBdr>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02798487">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infectioncontrolma.org/docs/Loeb-and-Revised-McGeer-Criteria.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health.state.mn.us/diseases/antibioticresistance/hcp/asp/ltc/loebmcgee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ectioncontrolma.org/docs/Loeb-and-Revised-McGeer-Criteri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nhsn/ltc/index.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state.mn.us/diseases/antibioticresistance/hcp/asp/ltc/loebmcge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31aec66-2863-455c-9bb0-8c99df0ac3fd" xsi:nil="true"/>
    <ResidentBathingPreferencesandSkinassessments xmlns="931aec66-2863-455c-9bb0-8c99df0ac3fd" xsi:nil="true"/>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lcf76f155ced4ddcb4097134ff3c332f xmlns="931aec66-2863-455c-9bb0-8c99df0ac3fd">
      <Terms xmlns="http://schemas.microsoft.com/office/infopath/2007/PartnerControls"/>
    </lcf76f155ced4ddcb4097134ff3c332f>
    <TaxCatchAll xmlns="5d14f105-b512-4c58-b648-3bdda2cf581d"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580ED16-98D8-4067-B4B1-4E2ADE26CCDF}">
  <ds:schemaRefs>
    <ds:schemaRef ds:uri="http://schemas.microsoft.com/sharepoint/v3/contenttype/forms"/>
  </ds:schemaRefs>
</ds:datastoreItem>
</file>

<file path=customXml/itemProps2.xml><?xml version="1.0" encoding="utf-8"?>
<ds:datastoreItem xmlns:ds="http://schemas.openxmlformats.org/officeDocument/2006/customXml" ds:itemID="{6F52AEA6-3042-4660-9C7D-3403EF960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B03DD-44AA-4E4F-813A-075F28788A86}">
  <ds:schemaRefs>
    <ds:schemaRef ds:uri="http://schemas.microsoft.com/office/2006/metadata/properties"/>
    <ds:schemaRef ds:uri="http://schemas.microsoft.com/office/infopath/2007/PartnerControls"/>
    <ds:schemaRef ds:uri="931aec66-2863-455c-9bb0-8c99df0ac3fd"/>
    <ds:schemaRef ds:uri="5d14f105-b512-4c58-b648-3bdda2cf581d"/>
  </ds:schemaRefs>
</ds:datastoreItem>
</file>

<file path=customXml/itemProps4.xml><?xml version="1.0" encoding="utf-8"?>
<ds:datastoreItem xmlns:ds="http://schemas.openxmlformats.org/officeDocument/2006/customXml" ds:itemID="{AA64335E-B5CA-4D96-B395-D8F228EE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Links>
    <vt:vector size="18" baseType="variant">
      <vt:variant>
        <vt:i4>3866729</vt:i4>
      </vt:variant>
      <vt:variant>
        <vt:i4>0</vt:i4>
      </vt:variant>
      <vt:variant>
        <vt:i4>0</vt:i4>
      </vt:variant>
      <vt:variant>
        <vt:i4>5</vt:i4>
      </vt:variant>
      <vt:variant>
        <vt:lpwstr>https://www.cdc.gov/nhsn/ltc/index.html</vt:lpwstr>
      </vt:variant>
      <vt:variant>
        <vt:lpwstr/>
      </vt:variant>
      <vt:variant>
        <vt:i4>7471209</vt:i4>
      </vt:variant>
      <vt:variant>
        <vt:i4>3</vt:i4>
      </vt:variant>
      <vt:variant>
        <vt:i4>0</vt:i4>
      </vt:variant>
      <vt:variant>
        <vt:i4>5</vt:i4>
      </vt:variant>
      <vt:variant>
        <vt:lpwstr>https://www.health.state.mn.us/diseases/antibioticresistance/hcp/asp/ltc/loebmcgeer.pdf</vt:lpwstr>
      </vt:variant>
      <vt:variant>
        <vt:lpwstr/>
      </vt:variant>
      <vt:variant>
        <vt:i4>589894</vt:i4>
      </vt:variant>
      <vt:variant>
        <vt:i4>0</vt:i4>
      </vt:variant>
      <vt:variant>
        <vt:i4>0</vt:i4>
      </vt:variant>
      <vt:variant>
        <vt:i4>5</vt:i4>
      </vt:variant>
      <vt:variant>
        <vt:lpwstr>https://infectioncontrolma.org/docs/Loeb-and-Revised-McGeer-Criteria.pdf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2025-08-25T18:43:00Z</dcterms:created>
  <dcterms:modified xsi:type="dcterms:W3CDTF">2025-08-29T19:04:00Z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1604500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0x0101009DC06F82F74DC74D9A1715CAE0E542E2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