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67E25" w14:textId="3612C8DF" w:rsidR="00C16730" w:rsidRPr="005B5657" w:rsidRDefault="00CA4F39" w:rsidP="00F31348">
      <w:pPr>
        <w:pStyle w:val="Heading1"/>
        <w:spacing w:before="100" w:after="60"/>
        <w:rPr>
          <w:sz w:val="22"/>
          <w:szCs w:val="22"/>
        </w:rPr>
      </w:pPr>
      <w:r w:rsidRPr="005B5657">
        <w:rPr>
          <w:sz w:val="22"/>
          <w:szCs w:val="22"/>
        </w:rPr>
        <w:t>The Impact of M</w:t>
      </w:r>
      <w:r w:rsidR="007D1703" w:rsidRPr="005B5657">
        <w:rPr>
          <w:sz w:val="22"/>
          <w:szCs w:val="22"/>
        </w:rPr>
        <w:t xml:space="preserve">ethicillin-Resistant </w:t>
      </w:r>
      <w:r w:rsidR="007D1703" w:rsidRPr="005B5657">
        <w:rPr>
          <w:i/>
          <w:iCs/>
          <w:sz w:val="22"/>
          <w:szCs w:val="22"/>
        </w:rPr>
        <w:t xml:space="preserve">Staphylococcus aureus </w:t>
      </w:r>
      <w:r w:rsidR="007D1703" w:rsidRPr="005B5657">
        <w:rPr>
          <w:sz w:val="22"/>
          <w:szCs w:val="22"/>
        </w:rPr>
        <w:t>(MRSA)</w:t>
      </w:r>
    </w:p>
    <w:p w14:paraId="4482616D" w14:textId="01081425" w:rsidR="00AF7224" w:rsidRPr="005B5657" w:rsidRDefault="00DC1F84" w:rsidP="00D123AD">
      <w:pPr>
        <w:pStyle w:val="Heading2"/>
        <w:numPr>
          <w:ilvl w:val="0"/>
          <w:numId w:val="35"/>
        </w:numPr>
      </w:pPr>
      <w:r w:rsidRPr="005B5657">
        <w:rPr>
          <w:noProof/>
        </w:rPr>
        <w:drawing>
          <wp:anchor distT="0" distB="0" distL="114300" distR="114300" simplePos="0" relativeHeight="251658240" behindDoc="0" locked="0" layoutInCell="1" allowOverlap="1" wp14:anchorId="41372168" wp14:editId="5DFA6FDA">
            <wp:simplePos x="0" y="0"/>
            <wp:positionH relativeFrom="column">
              <wp:posOffset>5219700</wp:posOffset>
            </wp:positionH>
            <wp:positionV relativeFrom="paragraph">
              <wp:posOffset>81280</wp:posOffset>
            </wp:positionV>
            <wp:extent cx="1664970" cy="1108075"/>
            <wp:effectExtent l="38100" t="38100" r="87630" b="92075"/>
            <wp:wrapThrough wrapText="bothSides">
              <wp:wrapPolygon edited="0">
                <wp:start x="0" y="-743"/>
                <wp:lineTo x="-494" y="-371"/>
                <wp:lineTo x="-494" y="21538"/>
                <wp:lineTo x="-247" y="23023"/>
                <wp:lineTo x="21995" y="23023"/>
                <wp:lineTo x="22490" y="17453"/>
                <wp:lineTo x="22490" y="5570"/>
                <wp:lineTo x="21748" y="0"/>
                <wp:lineTo x="21748" y="-743"/>
                <wp:lineTo x="0" y="-743"/>
              </wp:wrapPolygon>
            </wp:wrapThrough>
            <wp:docPr id="1756939362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939362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110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7224" w:rsidRPr="005B5657">
        <w:t xml:space="preserve">MRSA is one of the most invasive and deadly </w:t>
      </w:r>
      <w:r w:rsidR="000E6AC0" w:rsidRPr="005B5657">
        <w:t>m</w:t>
      </w:r>
      <w:r w:rsidR="00AF7224" w:rsidRPr="005B5657">
        <w:t>ulti-</w:t>
      </w:r>
      <w:r w:rsidR="000E6AC0" w:rsidRPr="005B5657">
        <w:t>d</w:t>
      </w:r>
      <w:r w:rsidR="00AF7224" w:rsidRPr="005B5657">
        <w:t xml:space="preserve">rug </w:t>
      </w:r>
      <w:r w:rsidR="000E6AC0" w:rsidRPr="005B5657">
        <w:t>r</w:t>
      </w:r>
      <w:r w:rsidR="00AF7224" w:rsidRPr="005B5657">
        <w:t xml:space="preserve">esistant </w:t>
      </w:r>
      <w:r w:rsidR="000E6AC0" w:rsidRPr="005B5657">
        <w:t>o</w:t>
      </w:r>
      <w:r w:rsidR="00AF7224" w:rsidRPr="005B5657">
        <w:t>rganisms</w:t>
      </w:r>
      <w:r w:rsidR="00762AFB" w:rsidRPr="005B5657">
        <w:t xml:space="preserve"> (MDROs)</w:t>
      </w:r>
      <w:r w:rsidR="00AF7224" w:rsidRPr="005B5657">
        <w:t xml:space="preserve">. </w:t>
      </w:r>
    </w:p>
    <w:p w14:paraId="58E067CA" w14:textId="626465F3" w:rsidR="00AF7224" w:rsidRPr="005B5657" w:rsidRDefault="00AF7224" w:rsidP="00D63274">
      <w:pPr>
        <w:pStyle w:val="ListParagraph"/>
        <w:numPr>
          <w:ilvl w:val="1"/>
          <w:numId w:val="45"/>
        </w:numPr>
        <w:ind w:left="720"/>
        <w:contextualSpacing/>
        <w:rPr>
          <w:sz w:val="20"/>
          <w:szCs w:val="20"/>
        </w:rPr>
      </w:pPr>
      <w:r w:rsidRPr="005B5657">
        <w:rPr>
          <w:sz w:val="20"/>
          <w:szCs w:val="20"/>
        </w:rPr>
        <w:t>Over 2.8 million infections and over 35,000 people die in the U</w:t>
      </w:r>
      <w:r w:rsidR="002E2673" w:rsidRPr="005B5657">
        <w:rPr>
          <w:sz w:val="20"/>
          <w:szCs w:val="20"/>
        </w:rPr>
        <w:t>.</w:t>
      </w:r>
      <w:r w:rsidRPr="005B5657">
        <w:rPr>
          <w:sz w:val="20"/>
          <w:szCs w:val="20"/>
        </w:rPr>
        <w:t>S</w:t>
      </w:r>
      <w:r w:rsidR="002E2673" w:rsidRPr="005B5657">
        <w:rPr>
          <w:sz w:val="20"/>
          <w:szCs w:val="20"/>
        </w:rPr>
        <w:t>.</w:t>
      </w:r>
      <w:r w:rsidRPr="005B5657">
        <w:rPr>
          <w:sz w:val="20"/>
          <w:szCs w:val="20"/>
        </w:rPr>
        <w:t xml:space="preserve"> every year.</w:t>
      </w:r>
      <w:r w:rsidRPr="005B5657">
        <w:rPr>
          <w:sz w:val="20"/>
          <w:szCs w:val="20"/>
          <w:vertAlign w:val="superscript"/>
        </w:rPr>
        <w:t>1</w:t>
      </w:r>
    </w:p>
    <w:p w14:paraId="33FA9E61" w14:textId="4C6B78E5" w:rsidR="00AF7224" w:rsidRPr="005B5657" w:rsidRDefault="00AF7224" w:rsidP="00D63274">
      <w:pPr>
        <w:pStyle w:val="ListParagraph"/>
        <w:numPr>
          <w:ilvl w:val="1"/>
          <w:numId w:val="45"/>
        </w:numPr>
        <w:ind w:left="720"/>
        <w:contextualSpacing/>
        <w:rPr>
          <w:sz w:val="20"/>
          <w:szCs w:val="20"/>
        </w:rPr>
      </w:pPr>
      <w:r w:rsidRPr="005B5657">
        <w:rPr>
          <w:sz w:val="20"/>
          <w:szCs w:val="20"/>
        </w:rPr>
        <w:t>MRSA infections are associated with</w:t>
      </w:r>
      <w:r w:rsidR="00017723" w:rsidRPr="005B5657">
        <w:rPr>
          <w:sz w:val="20"/>
          <w:szCs w:val="20"/>
        </w:rPr>
        <w:t xml:space="preserve"> the following</w:t>
      </w:r>
      <w:r w:rsidRPr="005B5657">
        <w:rPr>
          <w:sz w:val="20"/>
          <w:szCs w:val="20"/>
        </w:rPr>
        <w:t xml:space="preserve">: </w:t>
      </w:r>
    </w:p>
    <w:p w14:paraId="309ABB97" w14:textId="6A4CE2EE" w:rsidR="00AF7224" w:rsidRPr="005B5657" w:rsidRDefault="00AF7224" w:rsidP="00B55FE4">
      <w:pPr>
        <w:pStyle w:val="ListParagraph"/>
        <w:numPr>
          <w:ilvl w:val="2"/>
          <w:numId w:val="34"/>
        </w:numPr>
        <w:ind w:left="1080"/>
        <w:contextualSpacing/>
        <w:rPr>
          <w:sz w:val="20"/>
          <w:szCs w:val="20"/>
        </w:rPr>
      </w:pPr>
      <w:r w:rsidRPr="005B5657">
        <w:rPr>
          <w:sz w:val="20"/>
          <w:szCs w:val="20"/>
        </w:rPr>
        <w:t>Prolonged length of stay in hospital</w:t>
      </w:r>
      <w:r w:rsidR="00AD2141" w:rsidRPr="005B5657">
        <w:rPr>
          <w:sz w:val="20"/>
          <w:szCs w:val="20"/>
        </w:rPr>
        <w:t>.</w:t>
      </w:r>
      <w:r w:rsidRPr="005B5657">
        <w:rPr>
          <w:sz w:val="20"/>
          <w:szCs w:val="20"/>
          <w:vertAlign w:val="superscript"/>
        </w:rPr>
        <w:t>2-3</w:t>
      </w:r>
    </w:p>
    <w:p w14:paraId="3B1B6D37" w14:textId="0DB5D1C8" w:rsidR="00AF7224" w:rsidRPr="005B5657" w:rsidRDefault="00AF7224" w:rsidP="00B55FE4">
      <w:pPr>
        <w:pStyle w:val="ListParagraph"/>
        <w:numPr>
          <w:ilvl w:val="2"/>
          <w:numId w:val="34"/>
        </w:numPr>
        <w:ind w:left="1080"/>
        <w:contextualSpacing/>
        <w:rPr>
          <w:sz w:val="20"/>
          <w:szCs w:val="20"/>
        </w:rPr>
      </w:pPr>
      <w:r w:rsidRPr="005B5657">
        <w:rPr>
          <w:sz w:val="20"/>
          <w:szCs w:val="20"/>
        </w:rPr>
        <w:t>Excessive healthcare costs</w:t>
      </w:r>
      <w:r w:rsidR="00AD2141" w:rsidRPr="005B5657">
        <w:rPr>
          <w:sz w:val="20"/>
          <w:szCs w:val="20"/>
        </w:rPr>
        <w:t>.</w:t>
      </w:r>
      <w:r w:rsidRPr="005B5657">
        <w:rPr>
          <w:sz w:val="20"/>
          <w:szCs w:val="20"/>
          <w:vertAlign w:val="superscript"/>
        </w:rPr>
        <w:t>2-4</w:t>
      </w:r>
    </w:p>
    <w:p w14:paraId="2639BD42" w14:textId="1A71EFDF" w:rsidR="00AF7224" w:rsidRPr="005B5657" w:rsidRDefault="00AF7224" w:rsidP="00B55FE4">
      <w:pPr>
        <w:pStyle w:val="ListParagraph"/>
        <w:numPr>
          <w:ilvl w:val="2"/>
          <w:numId w:val="34"/>
        </w:numPr>
        <w:ind w:left="1080"/>
        <w:contextualSpacing/>
        <w:rPr>
          <w:sz w:val="20"/>
          <w:szCs w:val="20"/>
        </w:rPr>
      </w:pPr>
      <w:r w:rsidRPr="005B5657">
        <w:rPr>
          <w:sz w:val="20"/>
          <w:szCs w:val="20"/>
        </w:rPr>
        <w:t>Increased morbidity and mortality</w:t>
      </w:r>
      <w:r w:rsidR="00AD2141" w:rsidRPr="005B5657">
        <w:rPr>
          <w:sz w:val="20"/>
          <w:szCs w:val="20"/>
        </w:rPr>
        <w:t>.</w:t>
      </w:r>
      <w:r w:rsidRPr="005B5657">
        <w:rPr>
          <w:sz w:val="20"/>
          <w:szCs w:val="20"/>
          <w:vertAlign w:val="superscript"/>
        </w:rPr>
        <w:t>4</w:t>
      </w:r>
    </w:p>
    <w:p w14:paraId="101E647F" w14:textId="0C5B37C4" w:rsidR="00AF7224" w:rsidRPr="005B5657" w:rsidRDefault="00AF7224" w:rsidP="00D63274">
      <w:pPr>
        <w:pStyle w:val="ListParagraph"/>
        <w:numPr>
          <w:ilvl w:val="1"/>
          <w:numId w:val="45"/>
        </w:numPr>
        <w:ind w:left="720"/>
        <w:contextualSpacing/>
        <w:rPr>
          <w:sz w:val="20"/>
          <w:szCs w:val="20"/>
        </w:rPr>
      </w:pPr>
      <w:r w:rsidRPr="005B5657">
        <w:rPr>
          <w:sz w:val="20"/>
          <w:szCs w:val="20"/>
        </w:rPr>
        <w:t>MRSA is a leading cause of central line-associated bloodstream infections, ventilator-associated pneumonia, and surgical site infections (SSIs).</w:t>
      </w:r>
      <w:r w:rsidRPr="005B5657">
        <w:rPr>
          <w:sz w:val="20"/>
          <w:szCs w:val="20"/>
          <w:vertAlign w:val="superscript"/>
        </w:rPr>
        <w:t>5</w:t>
      </w:r>
      <w:r w:rsidRPr="005B5657">
        <w:rPr>
          <w:sz w:val="20"/>
          <w:szCs w:val="20"/>
        </w:rPr>
        <w:t xml:space="preserve"> </w:t>
      </w:r>
    </w:p>
    <w:p w14:paraId="76AB1178" w14:textId="0FC64948" w:rsidR="003368E5" w:rsidRPr="005B5657" w:rsidRDefault="00DA3A48" w:rsidP="004E5A9F">
      <w:pPr>
        <w:pStyle w:val="Heading2"/>
        <w:numPr>
          <w:ilvl w:val="0"/>
          <w:numId w:val="30"/>
        </w:numPr>
      </w:pPr>
      <w:r w:rsidRPr="005B5657">
        <w:t>Treatment of MRSA adds to the emergence and proliferation of antimicrobial</w:t>
      </w:r>
      <w:r w:rsidR="00316137" w:rsidRPr="005B5657">
        <w:t>-</w:t>
      </w:r>
      <w:r w:rsidRPr="005B5657">
        <w:t>resistant organisms.</w:t>
      </w:r>
      <w:r w:rsidRPr="005B5657">
        <w:rPr>
          <w:vertAlign w:val="superscript"/>
        </w:rPr>
        <w:t>5-6</w:t>
      </w:r>
      <w:r w:rsidRPr="005B5657">
        <w:t xml:space="preserve"> </w:t>
      </w:r>
    </w:p>
    <w:p w14:paraId="700CAC77" w14:textId="2058DCC4" w:rsidR="005201D9" w:rsidRPr="005B5657" w:rsidRDefault="005201D9" w:rsidP="005201D9">
      <w:pPr>
        <w:pStyle w:val="ListParagraph"/>
        <w:numPr>
          <w:ilvl w:val="0"/>
          <w:numId w:val="43"/>
        </w:numPr>
        <w:spacing w:after="0"/>
        <w:ind w:left="720"/>
        <w:rPr>
          <w:sz w:val="20"/>
          <w:szCs w:val="20"/>
        </w:rPr>
      </w:pPr>
      <w:r w:rsidRPr="005B5657">
        <w:rPr>
          <w:sz w:val="20"/>
          <w:szCs w:val="20"/>
        </w:rPr>
        <w:t xml:space="preserve">Treating patients with courses of antibiotics against </w:t>
      </w:r>
      <w:r w:rsidRPr="005B5657">
        <w:rPr>
          <w:i/>
          <w:iCs/>
          <w:sz w:val="20"/>
          <w:szCs w:val="20"/>
        </w:rPr>
        <w:t>S. aureus</w:t>
      </w:r>
      <w:r w:rsidRPr="005B5657">
        <w:rPr>
          <w:sz w:val="20"/>
          <w:szCs w:val="20"/>
        </w:rPr>
        <w:t xml:space="preserve"> can cause antibiotic pressure, leading to selective advantage for antibiotic-resistant strains.</w:t>
      </w:r>
    </w:p>
    <w:p w14:paraId="0B1DCF8D" w14:textId="2F32EB12" w:rsidR="00AF7224" w:rsidRPr="005B5657" w:rsidRDefault="00AF7224" w:rsidP="00D63274">
      <w:pPr>
        <w:pStyle w:val="ListParagraph"/>
        <w:numPr>
          <w:ilvl w:val="0"/>
          <w:numId w:val="43"/>
        </w:numPr>
        <w:spacing w:after="0"/>
        <w:ind w:left="720"/>
        <w:rPr>
          <w:sz w:val="20"/>
          <w:szCs w:val="20"/>
        </w:rPr>
      </w:pPr>
      <w:r w:rsidRPr="005B5657">
        <w:rPr>
          <w:sz w:val="20"/>
          <w:szCs w:val="20"/>
        </w:rPr>
        <w:t xml:space="preserve">The majority of </w:t>
      </w:r>
      <w:r w:rsidR="007D1703" w:rsidRPr="005B5657">
        <w:rPr>
          <w:i/>
          <w:iCs/>
          <w:sz w:val="20"/>
          <w:szCs w:val="20"/>
        </w:rPr>
        <w:t>S.</w:t>
      </w:r>
      <w:r w:rsidRPr="005B5657">
        <w:rPr>
          <w:i/>
          <w:iCs/>
          <w:sz w:val="20"/>
          <w:szCs w:val="20"/>
        </w:rPr>
        <w:t xml:space="preserve"> aureus</w:t>
      </w:r>
      <w:r w:rsidRPr="005B5657">
        <w:rPr>
          <w:sz w:val="20"/>
          <w:szCs w:val="20"/>
        </w:rPr>
        <w:t xml:space="preserve"> infections among hospitalized patients are methicillin-resistant</w:t>
      </w:r>
      <w:r w:rsidR="00241CC6" w:rsidRPr="005B5657">
        <w:rPr>
          <w:sz w:val="20"/>
          <w:szCs w:val="20"/>
        </w:rPr>
        <w:t xml:space="preserve">: </w:t>
      </w:r>
      <w:r w:rsidR="00FD184F" w:rsidRPr="005B5657">
        <w:rPr>
          <w:sz w:val="20"/>
          <w:szCs w:val="20"/>
        </w:rPr>
        <w:t>a</w:t>
      </w:r>
      <w:r w:rsidRPr="005B5657">
        <w:rPr>
          <w:sz w:val="20"/>
          <w:szCs w:val="20"/>
        </w:rPr>
        <w:t>bout 75</w:t>
      </w:r>
      <w:r w:rsidR="00FD184F" w:rsidRPr="005B5657">
        <w:rPr>
          <w:sz w:val="20"/>
          <w:szCs w:val="20"/>
        </w:rPr>
        <w:t xml:space="preserve"> percent</w:t>
      </w:r>
      <w:r w:rsidRPr="005B5657">
        <w:rPr>
          <w:sz w:val="20"/>
          <w:szCs w:val="20"/>
        </w:rPr>
        <w:t xml:space="preserve"> in the </w:t>
      </w:r>
      <w:r w:rsidR="00FD184F" w:rsidRPr="005B5657">
        <w:rPr>
          <w:sz w:val="20"/>
          <w:szCs w:val="20"/>
        </w:rPr>
        <w:t>intensive care unit (ICU)</w:t>
      </w:r>
      <w:r w:rsidR="00935181" w:rsidRPr="005B5657">
        <w:rPr>
          <w:sz w:val="20"/>
          <w:szCs w:val="20"/>
        </w:rPr>
        <w:t xml:space="preserve"> and upwards of </w:t>
      </w:r>
      <w:r w:rsidRPr="005B5657">
        <w:rPr>
          <w:sz w:val="20"/>
          <w:szCs w:val="20"/>
        </w:rPr>
        <w:t>60</w:t>
      </w:r>
      <w:r w:rsidR="00FD184F" w:rsidRPr="005B5657">
        <w:rPr>
          <w:sz w:val="20"/>
          <w:szCs w:val="20"/>
        </w:rPr>
        <w:t xml:space="preserve"> percent</w:t>
      </w:r>
      <w:r w:rsidRPr="005B5657">
        <w:rPr>
          <w:sz w:val="20"/>
          <w:szCs w:val="20"/>
        </w:rPr>
        <w:t xml:space="preserve"> in the non-ICU.</w:t>
      </w:r>
      <w:r w:rsidRPr="005B5657">
        <w:rPr>
          <w:sz w:val="20"/>
          <w:szCs w:val="20"/>
          <w:vertAlign w:val="superscript"/>
        </w:rPr>
        <w:t>5</w:t>
      </w:r>
      <w:r w:rsidR="00C51131" w:rsidRPr="005B5657">
        <w:rPr>
          <w:sz w:val="20"/>
          <w:szCs w:val="20"/>
          <w:vertAlign w:val="superscript"/>
        </w:rPr>
        <w:t>,</w:t>
      </w:r>
      <w:r w:rsidR="0091082A" w:rsidRPr="005B5657">
        <w:rPr>
          <w:sz w:val="20"/>
          <w:szCs w:val="20"/>
          <w:vertAlign w:val="superscript"/>
        </w:rPr>
        <w:t>7</w:t>
      </w:r>
    </w:p>
    <w:p w14:paraId="05BD44B3" w14:textId="2EDFA754" w:rsidR="00E938E3" w:rsidRPr="005B5657" w:rsidRDefault="0027484E" w:rsidP="00F31348">
      <w:pPr>
        <w:pStyle w:val="Heading1"/>
        <w:spacing w:before="100" w:after="60"/>
        <w:rPr>
          <w:sz w:val="22"/>
          <w:szCs w:val="22"/>
        </w:rPr>
      </w:pPr>
      <w:r w:rsidRPr="005B5657">
        <w:rPr>
          <w:sz w:val="22"/>
          <w:szCs w:val="22"/>
        </w:rPr>
        <w:t>Four Main Sources and Pathways of MRSA Transmission and Infection</w:t>
      </w:r>
    </w:p>
    <w:p w14:paraId="1EED158A" w14:textId="682BAF48" w:rsidR="008302AF" w:rsidRPr="005B5657" w:rsidRDefault="008302AF" w:rsidP="00D123AD">
      <w:pPr>
        <w:pStyle w:val="Heading2"/>
      </w:pPr>
      <w:r w:rsidRPr="005B5657">
        <w:t xml:space="preserve">A person’s own MRSA colonization can lead to invasive disease. </w:t>
      </w:r>
    </w:p>
    <w:p w14:paraId="086023A8" w14:textId="77777777" w:rsidR="008302AF" w:rsidRPr="005B5657" w:rsidRDefault="008302AF" w:rsidP="00B32C10">
      <w:pPr>
        <w:pStyle w:val="ListParagraph"/>
        <w:numPr>
          <w:ilvl w:val="1"/>
          <w:numId w:val="37"/>
        </w:numPr>
        <w:spacing w:after="0"/>
        <w:ind w:left="720"/>
        <w:rPr>
          <w:sz w:val="20"/>
          <w:szCs w:val="20"/>
        </w:rPr>
      </w:pPr>
      <w:r w:rsidRPr="005B5657">
        <w:rPr>
          <w:sz w:val="20"/>
          <w:szCs w:val="20"/>
        </w:rPr>
        <w:t xml:space="preserve">MRSA can colonize the skin, nares, or other parts of the body without signs or symptoms. </w:t>
      </w:r>
    </w:p>
    <w:p w14:paraId="6B44AA50" w14:textId="48B3989A" w:rsidR="008302AF" w:rsidRPr="005B5657" w:rsidRDefault="008302AF" w:rsidP="00B32C10">
      <w:pPr>
        <w:pStyle w:val="ListParagraph"/>
        <w:numPr>
          <w:ilvl w:val="2"/>
          <w:numId w:val="37"/>
        </w:numPr>
        <w:spacing w:after="0"/>
        <w:ind w:left="1080"/>
        <w:rPr>
          <w:sz w:val="20"/>
          <w:szCs w:val="20"/>
        </w:rPr>
      </w:pPr>
      <w:r w:rsidRPr="005B5657">
        <w:rPr>
          <w:sz w:val="20"/>
          <w:szCs w:val="20"/>
        </w:rPr>
        <w:t>MRSA carriage is common in healthcare settings, affecting 7 percent of inpatients upon admission.</w:t>
      </w:r>
      <w:r w:rsidRPr="005B5657">
        <w:rPr>
          <w:sz w:val="20"/>
          <w:szCs w:val="20"/>
          <w:vertAlign w:val="superscript"/>
        </w:rPr>
        <w:t xml:space="preserve">8 </w:t>
      </w:r>
    </w:p>
    <w:p w14:paraId="65924E93" w14:textId="133DA25A" w:rsidR="008302AF" w:rsidRPr="004E5A9F" w:rsidRDefault="008302AF" w:rsidP="004E5A9F">
      <w:pPr>
        <w:pStyle w:val="ListParagraph"/>
        <w:numPr>
          <w:ilvl w:val="1"/>
          <w:numId w:val="37"/>
        </w:numPr>
        <w:spacing w:after="0"/>
        <w:ind w:left="720"/>
        <w:rPr>
          <w:sz w:val="20"/>
          <w:szCs w:val="20"/>
        </w:rPr>
      </w:pPr>
      <w:r w:rsidRPr="005B5657">
        <w:rPr>
          <w:sz w:val="20"/>
          <w:szCs w:val="20"/>
        </w:rPr>
        <w:t xml:space="preserve">Infection occurs when colonization progresses to invasive disease. </w:t>
      </w:r>
      <w:r w:rsidRPr="004E5A9F">
        <w:rPr>
          <w:sz w:val="20"/>
          <w:szCs w:val="20"/>
        </w:rPr>
        <w:t>Hospitalization raises the likelihood of this happening.</w:t>
      </w:r>
    </w:p>
    <w:p w14:paraId="38DD43E8" w14:textId="03598E97" w:rsidR="008302AF" w:rsidRPr="005B5657" w:rsidRDefault="008302AF" w:rsidP="00461E6D">
      <w:pPr>
        <w:pStyle w:val="ListParagraph"/>
        <w:numPr>
          <w:ilvl w:val="2"/>
          <w:numId w:val="37"/>
        </w:numPr>
        <w:spacing w:after="0"/>
        <w:ind w:left="1080"/>
        <w:rPr>
          <w:sz w:val="20"/>
          <w:szCs w:val="20"/>
        </w:rPr>
      </w:pPr>
      <w:r w:rsidRPr="005B5657">
        <w:rPr>
          <w:sz w:val="20"/>
          <w:szCs w:val="20"/>
        </w:rPr>
        <w:t>Up to 11</w:t>
      </w:r>
      <w:r w:rsidR="00E61EC6" w:rsidRPr="005B5657">
        <w:rPr>
          <w:sz w:val="20"/>
          <w:szCs w:val="20"/>
        </w:rPr>
        <w:t xml:space="preserve"> percent </w:t>
      </w:r>
      <w:r w:rsidRPr="005B5657">
        <w:rPr>
          <w:sz w:val="20"/>
          <w:szCs w:val="20"/>
        </w:rPr>
        <w:t>of hospital inpatients who are colonized with MRSA will develop invasive infection during their stay, and this risk increases to 30 percent among the critically ill.</w:t>
      </w:r>
      <w:r w:rsidRPr="005B5657">
        <w:rPr>
          <w:sz w:val="20"/>
          <w:szCs w:val="20"/>
          <w:vertAlign w:val="superscript"/>
        </w:rPr>
        <w:t>9</w:t>
      </w:r>
      <w:r w:rsidR="0063032A">
        <w:rPr>
          <w:sz w:val="20"/>
          <w:szCs w:val="20"/>
          <w:vertAlign w:val="superscript"/>
        </w:rPr>
        <w:t xml:space="preserve"> </w:t>
      </w:r>
    </w:p>
    <w:p w14:paraId="1B82E157" w14:textId="6733A80D" w:rsidR="008302AF" w:rsidRPr="005B5657" w:rsidRDefault="008302AF" w:rsidP="00B32C10">
      <w:pPr>
        <w:pStyle w:val="ListParagraph"/>
        <w:numPr>
          <w:ilvl w:val="1"/>
          <w:numId w:val="37"/>
        </w:numPr>
        <w:spacing w:after="0"/>
        <w:ind w:left="720"/>
        <w:rPr>
          <w:sz w:val="20"/>
          <w:szCs w:val="20"/>
        </w:rPr>
      </w:pPr>
      <w:r w:rsidRPr="005B5657">
        <w:rPr>
          <w:sz w:val="20"/>
          <w:szCs w:val="20"/>
        </w:rPr>
        <w:t>Pe</w:t>
      </w:r>
      <w:r w:rsidR="003D792B" w:rsidRPr="005B5657">
        <w:rPr>
          <w:sz w:val="20"/>
          <w:szCs w:val="20"/>
        </w:rPr>
        <w:t>ople</w:t>
      </w:r>
      <w:r w:rsidRPr="005B5657">
        <w:rPr>
          <w:sz w:val="20"/>
          <w:szCs w:val="20"/>
        </w:rPr>
        <w:t xml:space="preserve"> colonized with MRSA can spread it to other</w:t>
      </w:r>
      <w:r w:rsidR="003D792B" w:rsidRPr="005B5657">
        <w:rPr>
          <w:sz w:val="20"/>
          <w:szCs w:val="20"/>
        </w:rPr>
        <w:t>s</w:t>
      </w:r>
      <w:r w:rsidRPr="005B5657">
        <w:rPr>
          <w:sz w:val="20"/>
          <w:szCs w:val="20"/>
        </w:rPr>
        <w:t xml:space="preserve"> or the environment, even if they are asymptomatic.</w:t>
      </w:r>
    </w:p>
    <w:p w14:paraId="070B9A14" w14:textId="01D0537D" w:rsidR="008302AF" w:rsidRPr="005B5657" w:rsidRDefault="008302AF" w:rsidP="004E5A9F">
      <w:pPr>
        <w:pStyle w:val="Heading2"/>
      </w:pPr>
      <w:r w:rsidRPr="005B5657">
        <w:t>Environmental reservoirs of MRSA can lead to colonization or infection.</w:t>
      </w:r>
      <w:r w:rsidR="00906467" w:rsidRPr="005B5657">
        <w:rPr>
          <w:vertAlign w:val="superscript"/>
        </w:rPr>
        <w:t>10</w:t>
      </w:r>
      <w:r w:rsidRPr="005B5657">
        <w:t xml:space="preserve"> </w:t>
      </w:r>
    </w:p>
    <w:p w14:paraId="6322B214" w14:textId="3E8A0F1E" w:rsidR="008302AF" w:rsidRPr="005B5657" w:rsidRDefault="008302AF" w:rsidP="00461E6D">
      <w:pPr>
        <w:pStyle w:val="ListParagraph"/>
        <w:numPr>
          <w:ilvl w:val="1"/>
          <w:numId w:val="38"/>
        </w:numPr>
        <w:spacing w:after="0"/>
        <w:ind w:left="720"/>
        <w:rPr>
          <w:sz w:val="20"/>
          <w:szCs w:val="20"/>
        </w:rPr>
      </w:pPr>
      <w:r w:rsidRPr="005B5657">
        <w:rPr>
          <w:sz w:val="20"/>
          <w:szCs w:val="20"/>
        </w:rPr>
        <w:t>High-touch surfaces</w:t>
      </w:r>
      <w:r w:rsidR="00F53476" w:rsidRPr="005B5657">
        <w:rPr>
          <w:sz w:val="20"/>
          <w:szCs w:val="20"/>
        </w:rPr>
        <w:t xml:space="preserve"> (HTS)</w:t>
      </w:r>
      <w:r w:rsidRPr="005B5657">
        <w:rPr>
          <w:sz w:val="20"/>
          <w:szCs w:val="20"/>
        </w:rPr>
        <w:t xml:space="preserve"> and fomites can harbor MRSA and other pathogens.</w:t>
      </w:r>
    </w:p>
    <w:p w14:paraId="451687AD" w14:textId="461CEE2B" w:rsidR="008302AF" w:rsidRPr="005B5657" w:rsidRDefault="008302AF" w:rsidP="003D792B">
      <w:pPr>
        <w:pStyle w:val="ListParagraph"/>
        <w:numPr>
          <w:ilvl w:val="2"/>
          <w:numId w:val="38"/>
        </w:numPr>
        <w:spacing w:after="0"/>
        <w:ind w:left="1080"/>
        <w:rPr>
          <w:sz w:val="20"/>
          <w:szCs w:val="20"/>
        </w:rPr>
      </w:pPr>
      <w:r w:rsidRPr="005B5657">
        <w:rPr>
          <w:sz w:val="20"/>
          <w:szCs w:val="20"/>
        </w:rPr>
        <w:t xml:space="preserve">This can then be transmitted between patients or from surfaces to a vulnerable patient. </w:t>
      </w:r>
    </w:p>
    <w:p w14:paraId="0C5FCC98" w14:textId="5172C31F" w:rsidR="008302AF" w:rsidRPr="005B5657" w:rsidRDefault="008302AF" w:rsidP="00461E6D">
      <w:pPr>
        <w:pStyle w:val="ListParagraph"/>
        <w:numPr>
          <w:ilvl w:val="1"/>
          <w:numId w:val="38"/>
        </w:numPr>
        <w:spacing w:after="0"/>
        <w:ind w:left="720"/>
        <w:rPr>
          <w:sz w:val="20"/>
          <w:szCs w:val="20"/>
        </w:rPr>
      </w:pPr>
      <w:r w:rsidRPr="005B5657">
        <w:rPr>
          <w:sz w:val="20"/>
          <w:szCs w:val="20"/>
        </w:rPr>
        <w:t xml:space="preserve">Examples of </w:t>
      </w:r>
      <w:r w:rsidR="00F53476" w:rsidRPr="005B5657">
        <w:rPr>
          <w:sz w:val="20"/>
          <w:szCs w:val="20"/>
        </w:rPr>
        <w:t>HTS</w:t>
      </w:r>
      <w:r w:rsidRPr="005B5657">
        <w:rPr>
          <w:sz w:val="20"/>
          <w:szCs w:val="20"/>
        </w:rPr>
        <w:t xml:space="preserve"> include but are not limited to intravenous poles, bedrails, and over-bed tables</w:t>
      </w:r>
      <w:r w:rsidR="00906467" w:rsidRPr="005B5657">
        <w:rPr>
          <w:sz w:val="20"/>
          <w:szCs w:val="20"/>
        </w:rPr>
        <w:t>.</w:t>
      </w:r>
      <w:r w:rsidRPr="005B5657">
        <w:rPr>
          <w:sz w:val="20"/>
          <w:szCs w:val="20"/>
          <w:vertAlign w:val="superscript"/>
        </w:rPr>
        <w:t xml:space="preserve"> </w:t>
      </w:r>
    </w:p>
    <w:p w14:paraId="5238A767" w14:textId="51EFD017" w:rsidR="008302AF" w:rsidRPr="005B5657" w:rsidRDefault="008302AF" w:rsidP="004E5A9F">
      <w:pPr>
        <w:pStyle w:val="Heading2"/>
      </w:pPr>
      <w:r w:rsidRPr="005B5657">
        <w:t>Healthcare personnel can transfer organisms to patients or surfaces, leading to colonization or infection.</w:t>
      </w:r>
    </w:p>
    <w:p w14:paraId="627AFF7F" w14:textId="6A15D6F9" w:rsidR="008302AF" w:rsidRPr="005B5657" w:rsidRDefault="008302AF" w:rsidP="00461E6D">
      <w:pPr>
        <w:pStyle w:val="ListParagraph"/>
        <w:numPr>
          <w:ilvl w:val="1"/>
          <w:numId w:val="39"/>
        </w:numPr>
        <w:spacing w:after="0"/>
        <w:ind w:left="720"/>
        <w:rPr>
          <w:sz w:val="20"/>
          <w:szCs w:val="20"/>
        </w:rPr>
      </w:pPr>
      <w:r w:rsidRPr="005B5657">
        <w:rPr>
          <w:sz w:val="20"/>
          <w:szCs w:val="20"/>
        </w:rPr>
        <w:t xml:space="preserve">Healthcare personnel can inadvertently transmit MRSA </w:t>
      </w:r>
      <w:r w:rsidR="00ED36BF">
        <w:rPr>
          <w:sz w:val="20"/>
          <w:szCs w:val="20"/>
        </w:rPr>
        <w:t xml:space="preserve">between </w:t>
      </w:r>
      <w:r w:rsidRPr="005B5657">
        <w:rPr>
          <w:sz w:val="20"/>
          <w:szCs w:val="20"/>
        </w:rPr>
        <w:t>patient</w:t>
      </w:r>
      <w:r w:rsidR="00ED36BF">
        <w:rPr>
          <w:sz w:val="20"/>
          <w:szCs w:val="20"/>
        </w:rPr>
        <w:t>s</w:t>
      </w:r>
      <w:r w:rsidRPr="005B5657">
        <w:rPr>
          <w:sz w:val="20"/>
          <w:szCs w:val="20"/>
        </w:rPr>
        <w:t xml:space="preserve"> or from the environment to patient(s).</w:t>
      </w:r>
      <w:r w:rsidRPr="005B5657">
        <w:rPr>
          <w:sz w:val="20"/>
          <w:szCs w:val="20"/>
          <w:vertAlign w:val="superscript"/>
        </w:rPr>
        <w:t>9,11-14</w:t>
      </w:r>
    </w:p>
    <w:p w14:paraId="23A88640" w14:textId="0815AA63" w:rsidR="008302AF" w:rsidRPr="005B5657" w:rsidRDefault="008302AF" w:rsidP="00461E6D">
      <w:pPr>
        <w:pStyle w:val="ListParagraph"/>
        <w:numPr>
          <w:ilvl w:val="1"/>
          <w:numId w:val="39"/>
        </w:numPr>
        <w:spacing w:after="0"/>
        <w:ind w:left="720"/>
        <w:rPr>
          <w:sz w:val="20"/>
          <w:szCs w:val="20"/>
        </w:rPr>
      </w:pPr>
      <w:r w:rsidRPr="005B5657">
        <w:rPr>
          <w:sz w:val="20"/>
          <w:szCs w:val="20"/>
        </w:rPr>
        <w:t xml:space="preserve">Improving hand hygiene practices can lead to a reduction of </w:t>
      </w:r>
      <w:r w:rsidR="00577368" w:rsidRPr="005B5657">
        <w:rPr>
          <w:sz w:val="20"/>
          <w:szCs w:val="20"/>
        </w:rPr>
        <w:t>healthcare-associated infections (</w:t>
      </w:r>
      <w:r w:rsidRPr="005B5657">
        <w:rPr>
          <w:sz w:val="20"/>
          <w:szCs w:val="20"/>
        </w:rPr>
        <w:t>HAIs</w:t>
      </w:r>
      <w:r w:rsidR="00577368" w:rsidRPr="005B5657">
        <w:rPr>
          <w:sz w:val="20"/>
          <w:szCs w:val="20"/>
        </w:rPr>
        <w:t>)</w:t>
      </w:r>
      <w:r w:rsidRPr="005B5657">
        <w:rPr>
          <w:sz w:val="20"/>
          <w:szCs w:val="20"/>
        </w:rPr>
        <w:t xml:space="preserve"> and/or transmission and colonization by MDROs.</w:t>
      </w:r>
      <w:r w:rsidRPr="005B5657">
        <w:rPr>
          <w:sz w:val="20"/>
          <w:szCs w:val="20"/>
          <w:vertAlign w:val="superscript"/>
        </w:rPr>
        <w:t>9,11-15</w:t>
      </w:r>
    </w:p>
    <w:p w14:paraId="13331A4C" w14:textId="62E4EF90" w:rsidR="008302AF" w:rsidRPr="005B5657" w:rsidRDefault="00ED36BF" w:rsidP="00461E6D">
      <w:pPr>
        <w:pStyle w:val="ListParagraph"/>
        <w:numPr>
          <w:ilvl w:val="1"/>
          <w:numId w:val="39"/>
        </w:numPr>
        <w:spacing w:after="0"/>
        <w:ind w:left="720"/>
        <w:rPr>
          <w:sz w:val="20"/>
          <w:szCs w:val="20"/>
        </w:rPr>
      </w:pPr>
      <w:r>
        <w:rPr>
          <w:sz w:val="20"/>
          <w:szCs w:val="20"/>
        </w:rPr>
        <w:t>However</w:t>
      </w:r>
      <w:r w:rsidR="008302AF" w:rsidRPr="005B5657">
        <w:rPr>
          <w:sz w:val="20"/>
          <w:szCs w:val="20"/>
        </w:rPr>
        <w:t>, hand hygiene compliance rates vary widely in healthcare settings, ranging from 5 percent to 81 percent, with an average compliance of 40</w:t>
      </w:r>
      <w:r w:rsidR="00577368" w:rsidRPr="005B5657">
        <w:rPr>
          <w:sz w:val="20"/>
          <w:szCs w:val="20"/>
        </w:rPr>
        <w:t xml:space="preserve"> percent</w:t>
      </w:r>
      <w:r w:rsidR="008302AF" w:rsidRPr="005B5657">
        <w:rPr>
          <w:sz w:val="20"/>
          <w:szCs w:val="20"/>
        </w:rPr>
        <w:t>.</w:t>
      </w:r>
      <w:r w:rsidR="008302AF" w:rsidRPr="005B5657">
        <w:rPr>
          <w:sz w:val="20"/>
          <w:szCs w:val="20"/>
          <w:vertAlign w:val="superscript"/>
        </w:rPr>
        <w:t>1</w:t>
      </w:r>
      <w:r w:rsidR="004304F1" w:rsidRPr="005B5657">
        <w:rPr>
          <w:sz w:val="20"/>
          <w:szCs w:val="20"/>
          <w:vertAlign w:val="superscript"/>
        </w:rPr>
        <w:t>6</w:t>
      </w:r>
    </w:p>
    <w:p w14:paraId="2A848F4E" w14:textId="65017FD8" w:rsidR="008302AF" w:rsidRPr="005B5657" w:rsidRDefault="008302AF" w:rsidP="004E5A9F">
      <w:pPr>
        <w:pStyle w:val="Heading2"/>
      </w:pPr>
      <w:r w:rsidRPr="005B5657">
        <w:t>Medical devices and procedures can decrease or bypass patients’ natural defenses.</w:t>
      </w:r>
    </w:p>
    <w:p w14:paraId="3A7A77EE" w14:textId="334446A7" w:rsidR="008302AF" w:rsidRPr="005B5657" w:rsidRDefault="008302AF" w:rsidP="00461E6D">
      <w:pPr>
        <w:pStyle w:val="ListParagraph"/>
        <w:numPr>
          <w:ilvl w:val="1"/>
          <w:numId w:val="40"/>
        </w:numPr>
        <w:spacing w:after="0"/>
        <w:ind w:left="720"/>
        <w:rPr>
          <w:sz w:val="20"/>
          <w:szCs w:val="20"/>
        </w:rPr>
      </w:pPr>
      <w:r w:rsidRPr="005B5657">
        <w:rPr>
          <w:sz w:val="20"/>
          <w:szCs w:val="20"/>
        </w:rPr>
        <w:t xml:space="preserve">Medical devices or procedures can be </w:t>
      </w:r>
      <w:r w:rsidR="005318D7" w:rsidRPr="005B5657">
        <w:rPr>
          <w:sz w:val="20"/>
          <w:szCs w:val="20"/>
        </w:rPr>
        <w:t>life</w:t>
      </w:r>
      <w:r w:rsidR="005318D7">
        <w:rPr>
          <w:sz w:val="20"/>
          <w:szCs w:val="20"/>
        </w:rPr>
        <w:t>-</w:t>
      </w:r>
      <w:r w:rsidR="005318D7" w:rsidRPr="005B5657">
        <w:rPr>
          <w:sz w:val="20"/>
          <w:szCs w:val="20"/>
        </w:rPr>
        <w:t>saving but</w:t>
      </w:r>
      <w:r w:rsidRPr="005B5657">
        <w:rPr>
          <w:sz w:val="20"/>
          <w:szCs w:val="20"/>
        </w:rPr>
        <w:t xml:space="preserve"> </w:t>
      </w:r>
      <w:r w:rsidR="00ED36BF">
        <w:rPr>
          <w:sz w:val="20"/>
          <w:szCs w:val="20"/>
        </w:rPr>
        <w:t>poses</w:t>
      </w:r>
      <w:r w:rsidRPr="005B5657">
        <w:rPr>
          <w:sz w:val="20"/>
          <w:szCs w:val="20"/>
        </w:rPr>
        <w:t xml:space="preserve"> increased risk for </w:t>
      </w:r>
      <w:r w:rsidR="00577368" w:rsidRPr="005B5657">
        <w:rPr>
          <w:sz w:val="20"/>
          <w:szCs w:val="20"/>
        </w:rPr>
        <w:t>HAIs</w:t>
      </w:r>
      <w:r w:rsidRPr="005B5657">
        <w:rPr>
          <w:sz w:val="20"/>
          <w:szCs w:val="20"/>
        </w:rPr>
        <w:t xml:space="preserve"> by creating </w:t>
      </w:r>
      <w:r w:rsidR="001D6696" w:rsidRPr="005B5657">
        <w:rPr>
          <w:sz w:val="20"/>
          <w:szCs w:val="20"/>
        </w:rPr>
        <w:t>portals</w:t>
      </w:r>
      <w:r w:rsidRPr="005B5657">
        <w:rPr>
          <w:sz w:val="20"/>
          <w:szCs w:val="20"/>
        </w:rPr>
        <w:t xml:space="preserve"> of entry.</w:t>
      </w:r>
    </w:p>
    <w:p w14:paraId="7B65A4C0" w14:textId="75A00E9C" w:rsidR="00C16730" w:rsidRPr="005B5657" w:rsidRDefault="008302AF" w:rsidP="00461E6D">
      <w:pPr>
        <w:pStyle w:val="ListParagraph"/>
        <w:numPr>
          <w:ilvl w:val="1"/>
          <w:numId w:val="40"/>
        </w:numPr>
        <w:spacing w:after="0"/>
        <w:ind w:left="720"/>
        <w:rPr>
          <w:sz w:val="20"/>
          <w:szCs w:val="20"/>
        </w:rPr>
      </w:pPr>
      <w:r w:rsidRPr="005B5657">
        <w:rPr>
          <w:sz w:val="20"/>
          <w:szCs w:val="20"/>
        </w:rPr>
        <w:t xml:space="preserve">MRSA caused 48.4 percent of device-associated HAIs and 41.9 percent of </w:t>
      </w:r>
      <w:r w:rsidR="007D1703" w:rsidRPr="005B5657">
        <w:rPr>
          <w:sz w:val="20"/>
          <w:szCs w:val="20"/>
        </w:rPr>
        <w:t>SSIs</w:t>
      </w:r>
      <w:r w:rsidRPr="005B5657">
        <w:rPr>
          <w:sz w:val="20"/>
          <w:szCs w:val="20"/>
        </w:rPr>
        <w:t xml:space="preserve"> in acute care facilities </w:t>
      </w:r>
      <w:r w:rsidR="00ED36BF">
        <w:rPr>
          <w:sz w:val="20"/>
          <w:szCs w:val="20"/>
        </w:rPr>
        <w:t xml:space="preserve">from </w:t>
      </w:r>
      <w:r w:rsidRPr="005B5657">
        <w:rPr>
          <w:sz w:val="20"/>
          <w:szCs w:val="20"/>
        </w:rPr>
        <w:t xml:space="preserve">2015 </w:t>
      </w:r>
      <w:r w:rsidR="00ED36BF">
        <w:rPr>
          <w:sz w:val="20"/>
          <w:szCs w:val="20"/>
        </w:rPr>
        <w:t>to</w:t>
      </w:r>
      <w:r w:rsidR="00ED36BF" w:rsidRPr="005B5657">
        <w:rPr>
          <w:sz w:val="20"/>
          <w:szCs w:val="20"/>
        </w:rPr>
        <w:t xml:space="preserve"> </w:t>
      </w:r>
      <w:r w:rsidRPr="009D3E95">
        <w:rPr>
          <w:sz w:val="20"/>
          <w:szCs w:val="20"/>
        </w:rPr>
        <w:t>2017</w:t>
      </w:r>
      <w:r w:rsidR="009D3E95">
        <w:rPr>
          <w:sz w:val="20"/>
          <w:szCs w:val="20"/>
        </w:rPr>
        <w:t>.</w:t>
      </w:r>
      <w:r w:rsidRPr="009D3E95">
        <w:rPr>
          <w:sz w:val="20"/>
          <w:szCs w:val="20"/>
          <w:vertAlign w:val="superscript"/>
        </w:rPr>
        <w:t>5</w:t>
      </w:r>
    </w:p>
    <w:p w14:paraId="5CF2BE10" w14:textId="185D5BE7" w:rsidR="00634422" w:rsidRPr="00DA19B4" w:rsidRDefault="00ED36BF" w:rsidP="008B1C8D">
      <w:pPr>
        <w:spacing w:before="160" w:after="0"/>
        <w:rPr>
          <w:b/>
          <w:bCs/>
          <w:sz w:val="20"/>
          <w:szCs w:val="20"/>
        </w:rPr>
      </w:pPr>
      <w:r w:rsidRPr="00DA19B4">
        <w:rPr>
          <w:b/>
          <w:bCs/>
          <w:sz w:val="20"/>
          <w:szCs w:val="20"/>
        </w:rPr>
        <w:t>T</w:t>
      </w:r>
      <w:r w:rsidR="00644A79" w:rsidRPr="00DA19B4">
        <w:rPr>
          <w:b/>
          <w:bCs/>
          <w:sz w:val="20"/>
          <w:szCs w:val="20"/>
        </w:rPr>
        <w:t xml:space="preserve">o take aim and target MRSA, it is necessary to understand </w:t>
      </w:r>
      <w:r w:rsidRPr="00DA19B4">
        <w:rPr>
          <w:b/>
          <w:bCs/>
          <w:sz w:val="20"/>
          <w:szCs w:val="20"/>
        </w:rPr>
        <w:t xml:space="preserve">and address </w:t>
      </w:r>
      <w:r w:rsidR="00644A79" w:rsidRPr="00DA19B4">
        <w:rPr>
          <w:b/>
          <w:bCs/>
          <w:sz w:val="20"/>
          <w:szCs w:val="20"/>
        </w:rPr>
        <w:t xml:space="preserve">the four main sources or reservoirs of MRSA. </w:t>
      </w:r>
    </w:p>
    <w:p w14:paraId="12D3818F" w14:textId="431CE62F" w:rsidR="00ED36BF" w:rsidRPr="00D123AD" w:rsidRDefault="00B70F89" w:rsidP="004E5A9F">
      <w:pPr>
        <w:pStyle w:val="ListParagraph"/>
        <w:numPr>
          <w:ilvl w:val="0"/>
          <w:numId w:val="46"/>
        </w:numPr>
        <w:spacing w:before="60" w:after="0"/>
        <w:ind w:left="432"/>
        <w:rPr>
          <w:b/>
          <w:bCs/>
          <w:sz w:val="20"/>
          <w:szCs w:val="20"/>
        </w:rPr>
      </w:pPr>
      <w:r w:rsidRPr="00D123AD">
        <w:rPr>
          <w:noProof/>
          <w:sz w:val="20"/>
          <w:szCs w:val="20"/>
        </w:rPr>
        <w:drawing>
          <wp:anchor distT="0" distB="0" distL="114300" distR="114300" simplePos="0" relativeHeight="251658241" behindDoc="1" locked="0" layoutInCell="1" allowOverlap="1" wp14:anchorId="579F0BE9" wp14:editId="5F2B374A">
            <wp:simplePos x="0" y="0"/>
            <wp:positionH relativeFrom="column">
              <wp:posOffset>3327694</wp:posOffset>
            </wp:positionH>
            <wp:positionV relativeFrom="paragraph">
              <wp:posOffset>125535</wp:posOffset>
            </wp:positionV>
            <wp:extent cx="3474720" cy="1844894"/>
            <wp:effectExtent l="0" t="0" r="0" b="3175"/>
            <wp:wrapSquare wrapText="bothSides"/>
            <wp:docPr id="25" name="Picture 24" descr="A graphic of the four key strategies to take aim and target MRSA infection. The four key strategies include the following: decolonize patients, decontaminate the environment, prevent person-based transmission, and prevent device- and procedure-related infections.">
              <a:extLst xmlns:a="http://schemas.openxmlformats.org/drawingml/2006/main">
                <a:ext uri="{FF2B5EF4-FFF2-40B4-BE49-F238E27FC236}">
                  <a16:creationId xmlns:a16="http://schemas.microsoft.com/office/drawing/2014/main" id="{10B821B0-3086-503E-2A84-EAAB2DC2775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 descr="A graphic of the four key strategies to take aim and target MRSA infection. The four key strategies include the following: decolonize patients, decontaminate the environment, prevent person-based transmission, and prevent device- and procedure-related infections.">
                      <a:extLst>
                        <a:ext uri="{FF2B5EF4-FFF2-40B4-BE49-F238E27FC236}">
                          <a16:creationId xmlns:a16="http://schemas.microsoft.com/office/drawing/2014/main" id="{10B821B0-3086-503E-2A84-EAAB2DC2775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40" r="2466"/>
                    <a:stretch/>
                  </pic:blipFill>
                  <pic:spPr bwMode="auto">
                    <a:xfrm>
                      <a:off x="0" y="0"/>
                      <a:ext cx="3474720" cy="18448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36BF" w:rsidRPr="004E5A9F">
        <w:rPr>
          <w:b/>
          <w:bCs/>
          <w:sz w:val="20"/>
          <w:szCs w:val="20"/>
        </w:rPr>
        <w:t>Decolonizing patients</w:t>
      </w:r>
      <w:r w:rsidR="00ED36BF" w:rsidRPr="004E5A9F">
        <w:rPr>
          <w:sz w:val="20"/>
          <w:szCs w:val="20"/>
        </w:rPr>
        <w:t xml:space="preserve"> </w:t>
      </w:r>
      <w:r w:rsidR="00ED36BF" w:rsidRPr="00D123AD">
        <w:rPr>
          <w:sz w:val="20"/>
          <w:szCs w:val="20"/>
        </w:rPr>
        <w:t xml:space="preserve">targets individuals colonized with MRSA, who represent the primary </w:t>
      </w:r>
      <w:r w:rsidR="004E5A9F">
        <w:rPr>
          <w:sz w:val="20"/>
          <w:szCs w:val="20"/>
        </w:rPr>
        <w:t>reservoir</w:t>
      </w:r>
      <w:r w:rsidR="00ED36BF" w:rsidRPr="00D123AD">
        <w:rPr>
          <w:sz w:val="20"/>
          <w:szCs w:val="20"/>
        </w:rPr>
        <w:t xml:space="preserve"> of MRSA.</w:t>
      </w:r>
    </w:p>
    <w:p w14:paraId="571E14D4" w14:textId="15FA6C64" w:rsidR="00ED36BF" w:rsidRPr="00D123AD" w:rsidRDefault="00ED36BF" w:rsidP="004E5A9F">
      <w:pPr>
        <w:pStyle w:val="ListParagraph"/>
        <w:numPr>
          <w:ilvl w:val="0"/>
          <w:numId w:val="46"/>
        </w:numPr>
        <w:spacing w:before="60" w:after="0"/>
        <w:ind w:left="432"/>
        <w:rPr>
          <w:b/>
          <w:bCs/>
          <w:sz w:val="20"/>
          <w:szCs w:val="20"/>
        </w:rPr>
      </w:pPr>
      <w:r w:rsidRPr="004E5A9F">
        <w:rPr>
          <w:b/>
          <w:bCs/>
          <w:sz w:val="20"/>
          <w:szCs w:val="20"/>
        </w:rPr>
        <w:t>Decontaminating the healthcare environment</w:t>
      </w:r>
      <w:r w:rsidRPr="004E5A9F">
        <w:rPr>
          <w:sz w:val="20"/>
          <w:szCs w:val="20"/>
        </w:rPr>
        <w:t xml:space="preserve"> </w:t>
      </w:r>
      <w:r w:rsidRPr="00D123AD">
        <w:rPr>
          <w:sz w:val="20"/>
          <w:szCs w:val="20"/>
        </w:rPr>
        <w:t>removes MRSA from HTS and fomites.</w:t>
      </w:r>
    </w:p>
    <w:p w14:paraId="3811E69A" w14:textId="77777777" w:rsidR="00ED36BF" w:rsidRPr="00D123AD" w:rsidRDefault="00ED36BF" w:rsidP="004E5A9F">
      <w:pPr>
        <w:pStyle w:val="ListParagraph"/>
        <w:numPr>
          <w:ilvl w:val="0"/>
          <w:numId w:val="46"/>
        </w:numPr>
        <w:spacing w:before="60" w:after="0"/>
        <w:ind w:left="432"/>
        <w:rPr>
          <w:b/>
          <w:bCs/>
          <w:sz w:val="20"/>
          <w:szCs w:val="20"/>
        </w:rPr>
      </w:pPr>
      <w:r w:rsidRPr="004E5A9F">
        <w:rPr>
          <w:b/>
          <w:bCs/>
          <w:sz w:val="20"/>
          <w:szCs w:val="20"/>
        </w:rPr>
        <w:t>Preventing person-based transmission</w:t>
      </w:r>
      <w:r w:rsidRPr="004E5A9F">
        <w:rPr>
          <w:sz w:val="20"/>
          <w:szCs w:val="20"/>
        </w:rPr>
        <w:t xml:space="preserve"> </w:t>
      </w:r>
      <w:r w:rsidRPr="00D123AD">
        <w:rPr>
          <w:sz w:val="20"/>
          <w:szCs w:val="20"/>
        </w:rPr>
        <w:t>reduces the likelihood of healthcare workers spreading MRSA.</w:t>
      </w:r>
    </w:p>
    <w:p w14:paraId="21C876C4" w14:textId="77777777" w:rsidR="00ED36BF" w:rsidRDefault="00ED36BF" w:rsidP="004E5A9F">
      <w:pPr>
        <w:pStyle w:val="ListParagraph"/>
        <w:numPr>
          <w:ilvl w:val="0"/>
          <w:numId w:val="46"/>
        </w:numPr>
        <w:spacing w:before="60" w:after="0"/>
        <w:ind w:left="432"/>
        <w:rPr>
          <w:b/>
          <w:bCs/>
          <w:sz w:val="20"/>
          <w:szCs w:val="20"/>
        </w:rPr>
      </w:pPr>
      <w:r w:rsidRPr="004E5A9F">
        <w:rPr>
          <w:b/>
          <w:bCs/>
          <w:sz w:val="20"/>
          <w:szCs w:val="20"/>
        </w:rPr>
        <w:t>Preventing device- and procedure-related infections</w:t>
      </w:r>
      <w:r w:rsidRPr="004E5A9F">
        <w:rPr>
          <w:sz w:val="20"/>
          <w:szCs w:val="20"/>
        </w:rPr>
        <w:t xml:space="preserve"> </w:t>
      </w:r>
      <w:r>
        <w:rPr>
          <w:sz w:val="20"/>
          <w:szCs w:val="20"/>
        </w:rPr>
        <w:t>addresses the elevated infection risks that devices and procedures pose.</w:t>
      </w:r>
    </w:p>
    <w:p w14:paraId="326C1ADB" w14:textId="43CEE614" w:rsidR="00C16730" w:rsidRPr="005B5657" w:rsidRDefault="004E5A9F" w:rsidP="004E5A9F">
      <w:pPr>
        <w:spacing w:before="60" w:after="0"/>
        <w:rPr>
          <w:rFonts w:ascii="Segoe UI" w:hAnsi="Segoe UI" w:cs="Segoe UI"/>
          <w:sz w:val="20"/>
          <w:szCs w:val="20"/>
        </w:rPr>
      </w:pPr>
      <w:r>
        <w:rPr>
          <w:sz w:val="20"/>
          <w:szCs w:val="20"/>
        </w:rPr>
        <w:t xml:space="preserve">More info </w:t>
      </w:r>
      <w:r w:rsidR="00EB350B" w:rsidRPr="005B5657">
        <w:rPr>
          <w:sz w:val="20"/>
          <w:szCs w:val="20"/>
        </w:rPr>
        <w:t>can be found on</w:t>
      </w:r>
      <w:r w:rsidR="00EB350B" w:rsidRPr="00ED36BF">
        <w:rPr>
          <w:sz w:val="20"/>
          <w:szCs w:val="20"/>
        </w:rPr>
        <w:t xml:space="preserve"> </w:t>
      </w:r>
      <w:hyperlink r:id="rId13" w:history="1">
        <w:r w:rsidR="00695EAD" w:rsidRPr="003E2F48">
          <w:rPr>
            <w:rStyle w:val="Hyperlink"/>
            <w:b/>
            <w:bCs/>
            <w:sz w:val="20"/>
            <w:szCs w:val="20"/>
          </w:rPr>
          <w:t>The 4 Key Strategies of MRSA Prevention</w:t>
        </w:r>
        <w:r w:rsidR="00695EAD" w:rsidRPr="003E2F48">
          <w:rPr>
            <w:rStyle w:val="Hyperlink"/>
            <w:sz w:val="20"/>
            <w:szCs w:val="20"/>
          </w:rPr>
          <w:t xml:space="preserve"> </w:t>
        </w:r>
      </w:hyperlink>
      <w:r w:rsidR="008F7822" w:rsidRPr="00ED36BF">
        <w:rPr>
          <w:sz w:val="20"/>
          <w:szCs w:val="20"/>
        </w:rPr>
        <w:t xml:space="preserve">and </w:t>
      </w:r>
      <w:hyperlink r:id="rId14" w:history="1">
        <w:r w:rsidR="008F7822" w:rsidRPr="003212AD">
          <w:rPr>
            <w:rStyle w:val="Hyperlink"/>
            <w:b/>
            <w:bCs/>
            <w:sz w:val="20"/>
            <w:szCs w:val="20"/>
          </w:rPr>
          <w:t>The Importance of MRSA Prevention</w:t>
        </w:r>
      </w:hyperlink>
      <w:r w:rsidR="008F7822" w:rsidRPr="00ED36BF">
        <w:rPr>
          <w:sz w:val="20"/>
          <w:szCs w:val="20"/>
        </w:rPr>
        <w:t xml:space="preserve"> </w:t>
      </w:r>
      <w:r w:rsidR="00695EAD" w:rsidRPr="00ED36BF">
        <w:rPr>
          <w:sz w:val="20"/>
          <w:szCs w:val="20"/>
        </w:rPr>
        <w:t>page</w:t>
      </w:r>
      <w:r w:rsidR="008F7822" w:rsidRPr="00ED36BF">
        <w:rPr>
          <w:sz w:val="20"/>
          <w:szCs w:val="20"/>
        </w:rPr>
        <w:t>s</w:t>
      </w:r>
      <w:r w:rsidR="00695EAD" w:rsidRPr="00ED36BF">
        <w:rPr>
          <w:sz w:val="20"/>
          <w:szCs w:val="20"/>
        </w:rPr>
        <w:t xml:space="preserve"> of</w:t>
      </w:r>
      <w:r w:rsidR="00695EAD" w:rsidRPr="005B5657">
        <w:rPr>
          <w:sz w:val="20"/>
          <w:szCs w:val="20"/>
        </w:rPr>
        <w:t xml:space="preserve"> the Toolkit website.</w:t>
      </w:r>
    </w:p>
    <w:p w14:paraId="74C8F3C1" w14:textId="57173BE7" w:rsidR="000C2225" w:rsidRPr="005B5657" w:rsidRDefault="005C6D51" w:rsidP="00ED36BF">
      <w:pPr>
        <w:pStyle w:val="Heading1"/>
        <w:spacing w:before="100" w:after="60"/>
        <w:rPr>
          <w:sz w:val="22"/>
          <w:szCs w:val="22"/>
        </w:rPr>
      </w:pPr>
      <w:r w:rsidRPr="005B5657">
        <w:rPr>
          <w:sz w:val="22"/>
          <w:szCs w:val="22"/>
        </w:rPr>
        <w:lastRenderedPageBreak/>
        <w:t>References</w:t>
      </w:r>
    </w:p>
    <w:p w14:paraId="698E6D06" w14:textId="6EC032B5" w:rsidR="006921A2" w:rsidRPr="007923E9" w:rsidRDefault="006921A2" w:rsidP="00B81F18">
      <w:pPr>
        <w:pStyle w:val="EndnoteText"/>
        <w:sectPr w:rsidR="006921A2" w:rsidRPr="007923E9" w:rsidSect="006648B4">
          <w:footerReference w:type="default" r:id="rId15"/>
          <w:headerReference w:type="first" r:id="rId16"/>
          <w:footerReference w:type="first" r:id="rId17"/>
          <w:endnotePr>
            <w:numFmt w:val="decimal"/>
          </w:endnotePr>
          <w:type w:val="continuous"/>
          <w:pgSz w:w="12240" w:h="15840"/>
          <w:pgMar w:top="720" w:right="720" w:bottom="720" w:left="720" w:header="432" w:footer="432" w:gutter="0"/>
          <w:cols w:space="720"/>
          <w:titlePg/>
          <w:docGrid w:linePitch="360"/>
        </w:sectPr>
      </w:pPr>
    </w:p>
    <w:p w14:paraId="250C7196" w14:textId="6717CD8A" w:rsidR="008D4B4A" w:rsidRPr="00ED36BF" w:rsidRDefault="008D4B4A" w:rsidP="004E5A9F">
      <w:pPr>
        <w:pStyle w:val="RefList"/>
        <w:keepLines/>
        <w:numPr>
          <w:ilvl w:val="0"/>
          <w:numId w:val="31"/>
        </w:numPr>
        <w:spacing w:before="120"/>
        <w:ind w:left="360"/>
        <w:rPr>
          <w:sz w:val="20"/>
          <w:szCs w:val="20"/>
        </w:rPr>
      </w:pPr>
      <w:r w:rsidRPr="00ED36BF">
        <w:rPr>
          <w:sz w:val="20"/>
          <w:szCs w:val="20"/>
        </w:rPr>
        <w:t xml:space="preserve">Centers for Disease Control and Prevention (CDC). Antibiotic Resistance Threats in the United States, 2019. Atlanta, GA: U.S. Department of Health and Human Services, CDC; 2019. </w:t>
      </w:r>
      <w:hyperlink r:id="rId18" w:history="1">
        <w:r w:rsidR="009E03A8" w:rsidRPr="004E5A9F">
          <w:rPr>
            <w:rStyle w:val="cf01"/>
            <w:rFonts w:asciiTheme="minorHAnsi" w:hAnsiTheme="minorHAnsi" w:cstheme="minorHAnsi"/>
            <w:color w:val="0000FF"/>
            <w:sz w:val="20"/>
            <w:szCs w:val="20"/>
            <w:u w:val="single"/>
          </w:rPr>
          <w:t>https://www.cdc.gov/antimicrobial-resistance/media/pdfs/2019-ar-threats-report-508.pdf</w:t>
        </w:r>
      </w:hyperlink>
      <w:r w:rsidRPr="00ED36BF">
        <w:rPr>
          <w:sz w:val="20"/>
          <w:szCs w:val="20"/>
        </w:rPr>
        <w:t>.</w:t>
      </w:r>
    </w:p>
    <w:p w14:paraId="696E538B" w14:textId="17350CF7" w:rsidR="008D4B4A" w:rsidRPr="00ED36BF" w:rsidRDefault="008D4B4A" w:rsidP="004E5A9F">
      <w:pPr>
        <w:pStyle w:val="RefList"/>
        <w:keepLines/>
        <w:numPr>
          <w:ilvl w:val="0"/>
          <w:numId w:val="31"/>
        </w:numPr>
        <w:spacing w:before="120"/>
        <w:ind w:left="360"/>
        <w:rPr>
          <w:sz w:val="20"/>
          <w:szCs w:val="20"/>
        </w:rPr>
      </w:pPr>
      <w:r w:rsidRPr="00ED36BF">
        <w:rPr>
          <w:sz w:val="20"/>
          <w:szCs w:val="20"/>
        </w:rPr>
        <w:t xml:space="preserve">Schmidt A, Bénard S, Cyr S. Hospital </w:t>
      </w:r>
      <w:r w:rsidR="0026206F" w:rsidRPr="00ED36BF">
        <w:rPr>
          <w:sz w:val="20"/>
          <w:szCs w:val="20"/>
        </w:rPr>
        <w:t>c</w:t>
      </w:r>
      <w:r w:rsidRPr="00ED36BF">
        <w:rPr>
          <w:sz w:val="20"/>
          <w:szCs w:val="20"/>
        </w:rPr>
        <w:t xml:space="preserve">ost of </w:t>
      </w:r>
      <w:r w:rsidR="0026206F" w:rsidRPr="00ED36BF">
        <w:rPr>
          <w:sz w:val="20"/>
          <w:szCs w:val="20"/>
        </w:rPr>
        <w:t>s</w:t>
      </w:r>
      <w:r w:rsidRPr="00ED36BF">
        <w:rPr>
          <w:sz w:val="20"/>
          <w:szCs w:val="20"/>
        </w:rPr>
        <w:t xml:space="preserve">taphylococcal </w:t>
      </w:r>
      <w:r w:rsidR="006C361E">
        <w:rPr>
          <w:sz w:val="20"/>
          <w:szCs w:val="20"/>
        </w:rPr>
        <w:t>i</w:t>
      </w:r>
      <w:r w:rsidRPr="00ED36BF">
        <w:rPr>
          <w:sz w:val="20"/>
          <w:szCs w:val="20"/>
        </w:rPr>
        <w:t xml:space="preserve">nfection after </w:t>
      </w:r>
      <w:r w:rsidR="0026206F" w:rsidRPr="00ED36BF">
        <w:rPr>
          <w:sz w:val="20"/>
          <w:szCs w:val="20"/>
        </w:rPr>
        <w:t>c</w:t>
      </w:r>
      <w:r w:rsidRPr="00ED36BF">
        <w:rPr>
          <w:sz w:val="20"/>
          <w:szCs w:val="20"/>
        </w:rPr>
        <w:t xml:space="preserve">ardiothoracic or </w:t>
      </w:r>
      <w:r w:rsidR="000D734B" w:rsidRPr="00ED36BF">
        <w:rPr>
          <w:sz w:val="20"/>
          <w:szCs w:val="20"/>
        </w:rPr>
        <w:t>o</w:t>
      </w:r>
      <w:r w:rsidRPr="00ED36BF">
        <w:rPr>
          <w:sz w:val="20"/>
          <w:szCs w:val="20"/>
        </w:rPr>
        <w:t xml:space="preserve">rthopedic </w:t>
      </w:r>
      <w:r w:rsidR="000D734B" w:rsidRPr="00ED36BF">
        <w:rPr>
          <w:sz w:val="20"/>
          <w:szCs w:val="20"/>
        </w:rPr>
        <w:t>o</w:t>
      </w:r>
      <w:r w:rsidRPr="00ED36BF">
        <w:rPr>
          <w:sz w:val="20"/>
          <w:szCs w:val="20"/>
        </w:rPr>
        <w:t xml:space="preserve">perations in France: </w:t>
      </w:r>
      <w:r w:rsidR="000D734B" w:rsidRPr="00ED36BF">
        <w:rPr>
          <w:sz w:val="20"/>
          <w:szCs w:val="20"/>
        </w:rPr>
        <w:t>a</w:t>
      </w:r>
      <w:r w:rsidRPr="00ED36BF">
        <w:rPr>
          <w:sz w:val="20"/>
          <w:szCs w:val="20"/>
        </w:rPr>
        <w:t xml:space="preserve"> </w:t>
      </w:r>
      <w:r w:rsidR="000D734B" w:rsidRPr="00ED36BF">
        <w:rPr>
          <w:sz w:val="20"/>
          <w:szCs w:val="20"/>
        </w:rPr>
        <w:t>r</w:t>
      </w:r>
      <w:r w:rsidRPr="00ED36BF">
        <w:rPr>
          <w:sz w:val="20"/>
          <w:szCs w:val="20"/>
        </w:rPr>
        <w:t xml:space="preserve">etrospective </w:t>
      </w:r>
      <w:r w:rsidR="000D734B" w:rsidRPr="00ED36BF">
        <w:rPr>
          <w:sz w:val="20"/>
          <w:szCs w:val="20"/>
        </w:rPr>
        <w:t>d</w:t>
      </w:r>
      <w:r w:rsidRPr="00ED36BF">
        <w:rPr>
          <w:sz w:val="20"/>
          <w:szCs w:val="20"/>
        </w:rPr>
        <w:t xml:space="preserve">atabase </w:t>
      </w:r>
      <w:r w:rsidR="000D734B" w:rsidRPr="00ED36BF">
        <w:rPr>
          <w:sz w:val="20"/>
          <w:szCs w:val="20"/>
        </w:rPr>
        <w:t>a</w:t>
      </w:r>
      <w:r w:rsidRPr="00ED36BF">
        <w:rPr>
          <w:sz w:val="20"/>
          <w:szCs w:val="20"/>
        </w:rPr>
        <w:t>nalysis. Surg Infect (Larchmt). 2015 Aug;16(4):428-35. PMID: 26207403.</w:t>
      </w:r>
    </w:p>
    <w:p w14:paraId="4887E359" w14:textId="77777777" w:rsidR="008D4B4A" w:rsidRPr="00ED36BF" w:rsidRDefault="008D4B4A" w:rsidP="004E5A9F">
      <w:pPr>
        <w:pStyle w:val="RefList"/>
        <w:keepLines/>
        <w:numPr>
          <w:ilvl w:val="0"/>
          <w:numId w:val="31"/>
        </w:numPr>
        <w:spacing w:before="120"/>
        <w:ind w:left="360"/>
        <w:rPr>
          <w:sz w:val="20"/>
          <w:szCs w:val="20"/>
        </w:rPr>
      </w:pPr>
      <w:r w:rsidRPr="00ED36BF">
        <w:rPr>
          <w:sz w:val="20"/>
          <w:szCs w:val="20"/>
        </w:rPr>
        <w:t xml:space="preserve">Anderson DJ, Kaye KS, Chen LF, et al. Clinical and financial outcomes due to methicillin resistant </w:t>
      </w:r>
      <w:r w:rsidRPr="00ED36BF">
        <w:rPr>
          <w:i/>
          <w:iCs/>
          <w:sz w:val="20"/>
          <w:szCs w:val="20"/>
        </w:rPr>
        <w:t>Staphylococcus aureus</w:t>
      </w:r>
      <w:r w:rsidRPr="00ED36BF">
        <w:rPr>
          <w:sz w:val="20"/>
          <w:szCs w:val="20"/>
        </w:rPr>
        <w:t xml:space="preserve"> surgical site infection: a multi-center matched outcomes study. PLoS One. 2009 Dec 15;4(12):e8305. PMID: 20016850.</w:t>
      </w:r>
    </w:p>
    <w:p w14:paraId="20299DBB" w14:textId="77777777" w:rsidR="008D4B4A" w:rsidRPr="00ED36BF" w:rsidRDefault="008D4B4A" w:rsidP="004E5A9F">
      <w:pPr>
        <w:pStyle w:val="RefList"/>
        <w:keepLines/>
        <w:numPr>
          <w:ilvl w:val="0"/>
          <w:numId w:val="31"/>
        </w:numPr>
        <w:spacing w:before="120"/>
        <w:ind w:left="360"/>
        <w:rPr>
          <w:sz w:val="20"/>
          <w:szCs w:val="20"/>
        </w:rPr>
      </w:pPr>
      <w:r w:rsidRPr="00ED36BF">
        <w:rPr>
          <w:sz w:val="20"/>
          <w:szCs w:val="20"/>
        </w:rPr>
        <w:t xml:space="preserve">McGarry SA, Engemann JJ, Schmader K, et al. Surgical-site infection due to </w:t>
      </w:r>
      <w:r w:rsidRPr="00ED36BF">
        <w:rPr>
          <w:i/>
          <w:iCs/>
          <w:sz w:val="20"/>
          <w:szCs w:val="20"/>
        </w:rPr>
        <w:t>Staphylococcus aureus</w:t>
      </w:r>
      <w:r w:rsidRPr="00ED36BF">
        <w:rPr>
          <w:sz w:val="20"/>
          <w:szCs w:val="20"/>
        </w:rPr>
        <w:t xml:space="preserve"> among elderly patients: mortality, duration of hospitalization, and cost. Infect Control Hosp Epidemiol. 2004 Jun;25(6):461-7. PMID: 15242192.</w:t>
      </w:r>
    </w:p>
    <w:p w14:paraId="7794E4F3" w14:textId="30C6F4CC" w:rsidR="008D4B4A" w:rsidRPr="00ED36BF" w:rsidRDefault="008D4B4A" w:rsidP="004E5A9F">
      <w:pPr>
        <w:pStyle w:val="RefList"/>
        <w:keepLines/>
        <w:numPr>
          <w:ilvl w:val="0"/>
          <w:numId w:val="31"/>
        </w:numPr>
        <w:spacing w:before="120"/>
        <w:ind w:left="360"/>
        <w:rPr>
          <w:sz w:val="20"/>
          <w:szCs w:val="20"/>
        </w:rPr>
      </w:pPr>
      <w:r w:rsidRPr="00ED36BF">
        <w:rPr>
          <w:sz w:val="20"/>
          <w:szCs w:val="20"/>
        </w:rPr>
        <w:t>Weiner-Lastinger LM, Abner S, Edwards JR, et al. Antimicrobial-resistant pathogens associated with adult healthcare-associated infections: Summary of data reported to the National Healthcare Safety Network, 2015-2017. Infect Control Hosp Epidemiol</w:t>
      </w:r>
      <w:r w:rsidR="00DC35DE" w:rsidRPr="00ED36BF">
        <w:rPr>
          <w:sz w:val="20"/>
          <w:szCs w:val="20"/>
        </w:rPr>
        <w:t>.</w:t>
      </w:r>
      <w:r w:rsidRPr="00ED36BF">
        <w:rPr>
          <w:sz w:val="20"/>
          <w:szCs w:val="20"/>
        </w:rPr>
        <w:t xml:space="preserve"> 2020 Jan;41(1):1-18. PMID: 31767041.</w:t>
      </w:r>
    </w:p>
    <w:p w14:paraId="26202C33" w14:textId="77777777" w:rsidR="008D4B4A" w:rsidRPr="00ED36BF" w:rsidRDefault="008D4B4A" w:rsidP="004E5A9F">
      <w:pPr>
        <w:pStyle w:val="RefList"/>
        <w:keepLines/>
        <w:numPr>
          <w:ilvl w:val="0"/>
          <w:numId w:val="31"/>
        </w:numPr>
        <w:spacing w:before="120"/>
        <w:ind w:left="360"/>
        <w:rPr>
          <w:sz w:val="20"/>
          <w:szCs w:val="20"/>
        </w:rPr>
      </w:pPr>
      <w:r w:rsidRPr="00ED36BF">
        <w:rPr>
          <w:sz w:val="20"/>
          <w:szCs w:val="20"/>
        </w:rPr>
        <w:t>Hidron AI, Edwards JR, Patel J, et al. NHSN annual update: antimicrobial-resistant pathogens associated with healthcare-associated infections: annual summary of data reported to the National Healthcare Safety Network at the Centers for Disease Control and Prevention, 2006-2007. Infect Control Hosp Epidemiol. 2008 Nov;29(11):996-1011. PMID: 18947320.</w:t>
      </w:r>
    </w:p>
    <w:p w14:paraId="3B4C65FD" w14:textId="77777777" w:rsidR="008D4B4A" w:rsidRPr="00ED36BF" w:rsidRDefault="008D4B4A" w:rsidP="004E5A9F">
      <w:pPr>
        <w:pStyle w:val="RefList"/>
        <w:keepLines/>
        <w:numPr>
          <w:ilvl w:val="0"/>
          <w:numId w:val="31"/>
        </w:numPr>
        <w:spacing w:before="120"/>
        <w:ind w:left="360"/>
        <w:rPr>
          <w:sz w:val="20"/>
          <w:szCs w:val="20"/>
        </w:rPr>
      </w:pPr>
      <w:r w:rsidRPr="00ED36BF">
        <w:rPr>
          <w:sz w:val="20"/>
          <w:szCs w:val="20"/>
        </w:rPr>
        <w:t xml:space="preserve">Jarvis WR, Schlosser J, Chinn RY, et al. National prevalence of methicillin-resistant </w:t>
      </w:r>
      <w:r w:rsidRPr="00ED36BF">
        <w:rPr>
          <w:i/>
          <w:iCs/>
          <w:sz w:val="20"/>
          <w:szCs w:val="20"/>
        </w:rPr>
        <w:t xml:space="preserve">Staphylococcus aureus </w:t>
      </w:r>
      <w:r w:rsidRPr="00ED36BF">
        <w:rPr>
          <w:sz w:val="20"/>
          <w:szCs w:val="20"/>
        </w:rPr>
        <w:t>in inpatients at US health care facilities, 2006. Am J Infect Control. 2007 Dec;35(10):631-7. PMID: 18063126.</w:t>
      </w:r>
    </w:p>
    <w:p w14:paraId="7CF15CFE" w14:textId="77777777" w:rsidR="008D4B4A" w:rsidRPr="00ED36BF" w:rsidRDefault="008D4B4A" w:rsidP="004E5A9F">
      <w:pPr>
        <w:pStyle w:val="RefList"/>
        <w:keepLines/>
        <w:numPr>
          <w:ilvl w:val="0"/>
          <w:numId w:val="31"/>
        </w:numPr>
        <w:spacing w:before="120"/>
        <w:ind w:left="360"/>
        <w:rPr>
          <w:sz w:val="20"/>
          <w:szCs w:val="20"/>
        </w:rPr>
      </w:pPr>
      <w:r w:rsidRPr="00ED36BF">
        <w:rPr>
          <w:sz w:val="20"/>
          <w:szCs w:val="20"/>
        </w:rPr>
        <w:t xml:space="preserve">Hidron AI, Kourbatova EV, Halvosa JS, et al. Risk factors for colonization with methicillin-resistant </w:t>
      </w:r>
      <w:r w:rsidRPr="00ED36BF">
        <w:rPr>
          <w:i/>
          <w:iCs/>
          <w:sz w:val="20"/>
          <w:szCs w:val="20"/>
        </w:rPr>
        <w:t>Staphylococcus aureus</w:t>
      </w:r>
      <w:r w:rsidRPr="00ED36BF">
        <w:rPr>
          <w:sz w:val="20"/>
          <w:szCs w:val="20"/>
        </w:rPr>
        <w:t xml:space="preserve"> (MRSA) in patients admitted to an urban hospital: emergence of community-associated MRSA nasal carriage. Clin Infect Dis. 2005 Jul 15;41(2):159-66. PMID: 15983910. </w:t>
      </w:r>
    </w:p>
    <w:p w14:paraId="5289846B" w14:textId="77777777" w:rsidR="008D4B4A" w:rsidRPr="00ED36BF" w:rsidRDefault="008D4B4A" w:rsidP="004E5A9F">
      <w:pPr>
        <w:pStyle w:val="RefList"/>
        <w:keepLines/>
        <w:numPr>
          <w:ilvl w:val="0"/>
          <w:numId w:val="31"/>
        </w:numPr>
        <w:spacing w:before="120"/>
        <w:ind w:left="360"/>
        <w:rPr>
          <w:sz w:val="20"/>
          <w:szCs w:val="20"/>
        </w:rPr>
      </w:pPr>
      <w:r w:rsidRPr="00ED36BF">
        <w:rPr>
          <w:sz w:val="20"/>
          <w:szCs w:val="20"/>
        </w:rPr>
        <w:t xml:space="preserve">Coello R, Glynn JR, Gaspar C, et al. Risk factors for developing clinical infection with methicillin-resistant </w:t>
      </w:r>
      <w:r w:rsidRPr="00ED36BF">
        <w:rPr>
          <w:i/>
          <w:iCs/>
          <w:sz w:val="20"/>
          <w:szCs w:val="20"/>
        </w:rPr>
        <w:t>Staphylococcus aureus</w:t>
      </w:r>
      <w:r w:rsidRPr="00ED36BF">
        <w:rPr>
          <w:sz w:val="20"/>
          <w:szCs w:val="20"/>
        </w:rPr>
        <w:t xml:space="preserve"> (MRSA) amongst hospital patients initially only colonized with MRSA. J Hosp Infect. 1997 Sep;37(1):39-46. PMID: 9321727.</w:t>
      </w:r>
    </w:p>
    <w:p w14:paraId="00A9D85D" w14:textId="77777777" w:rsidR="008D4B4A" w:rsidRPr="00ED36BF" w:rsidRDefault="008D4B4A" w:rsidP="004E5A9F">
      <w:pPr>
        <w:pStyle w:val="RefList"/>
        <w:keepLines/>
        <w:numPr>
          <w:ilvl w:val="0"/>
          <w:numId w:val="31"/>
        </w:numPr>
        <w:spacing w:before="120"/>
        <w:ind w:left="360"/>
        <w:rPr>
          <w:sz w:val="20"/>
          <w:szCs w:val="20"/>
        </w:rPr>
      </w:pPr>
      <w:r w:rsidRPr="00ED36BF">
        <w:rPr>
          <w:sz w:val="20"/>
          <w:szCs w:val="20"/>
        </w:rPr>
        <w:t>Cobrado L, Silva-Dias A, Azevedo MM, et al. High-touch surfaces: microbial neighbours at hand. Eur J Clin Microbiol Infect Dis. 2017 Nov;36:2053-62. PMID: 28647859.</w:t>
      </w:r>
    </w:p>
    <w:p w14:paraId="0EDE12F2" w14:textId="4B97C61B" w:rsidR="008D4B4A" w:rsidRPr="00ED36BF" w:rsidRDefault="008D4B4A" w:rsidP="004E5A9F">
      <w:pPr>
        <w:pStyle w:val="RefList"/>
        <w:keepLines/>
        <w:numPr>
          <w:ilvl w:val="0"/>
          <w:numId w:val="31"/>
        </w:numPr>
        <w:spacing w:before="120"/>
        <w:ind w:left="360"/>
        <w:rPr>
          <w:sz w:val="20"/>
          <w:szCs w:val="20"/>
        </w:rPr>
      </w:pPr>
      <w:r w:rsidRPr="00ED36BF">
        <w:rPr>
          <w:sz w:val="20"/>
          <w:szCs w:val="20"/>
        </w:rPr>
        <w:t xml:space="preserve">Pujol M, Peña C, Pallares R, et al. Risk factors for nosocomial bacteremia due to methicillin-resistant </w:t>
      </w:r>
      <w:r w:rsidRPr="00ED36BF">
        <w:rPr>
          <w:i/>
          <w:iCs/>
          <w:sz w:val="20"/>
          <w:szCs w:val="20"/>
        </w:rPr>
        <w:t>Staphylococcus aureus</w:t>
      </w:r>
      <w:r w:rsidRPr="00ED36BF">
        <w:rPr>
          <w:sz w:val="20"/>
          <w:szCs w:val="20"/>
        </w:rPr>
        <w:t>. Eur J Clin Microbiol Infect Dis</w:t>
      </w:r>
      <w:r w:rsidR="00DC35DE" w:rsidRPr="00ED36BF">
        <w:rPr>
          <w:sz w:val="20"/>
          <w:szCs w:val="20"/>
        </w:rPr>
        <w:t>.</w:t>
      </w:r>
      <w:r w:rsidRPr="00ED36BF">
        <w:rPr>
          <w:sz w:val="20"/>
          <w:szCs w:val="20"/>
        </w:rPr>
        <w:t xml:space="preserve"> 1994 Jan;13(1):96-102. PMID: 8168571.</w:t>
      </w:r>
    </w:p>
    <w:p w14:paraId="7889995D" w14:textId="43B33693" w:rsidR="008D4B4A" w:rsidRPr="00ED36BF" w:rsidRDefault="008D4B4A" w:rsidP="004E5A9F">
      <w:pPr>
        <w:pStyle w:val="RefList"/>
        <w:keepLines/>
        <w:numPr>
          <w:ilvl w:val="0"/>
          <w:numId w:val="31"/>
        </w:numPr>
        <w:spacing w:before="120"/>
        <w:ind w:left="360"/>
        <w:rPr>
          <w:sz w:val="20"/>
          <w:szCs w:val="20"/>
        </w:rPr>
      </w:pPr>
      <w:r w:rsidRPr="00ED36BF">
        <w:rPr>
          <w:sz w:val="20"/>
          <w:szCs w:val="20"/>
        </w:rPr>
        <w:t xml:space="preserve">Huang SS, Hinrichsen VL, Datta R, et al. Methicillin-resistant </w:t>
      </w:r>
      <w:r w:rsidRPr="00ED36BF">
        <w:rPr>
          <w:i/>
          <w:iCs/>
          <w:sz w:val="20"/>
          <w:szCs w:val="20"/>
        </w:rPr>
        <w:t>Staphylococcus aureus</w:t>
      </w:r>
      <w:r w:rsidRPr="00ED36BF">
        <w:rPr>
          <w:sz w:val="20"/>
          <w:szCs w:val="20"/>
        </w:rPr>
        <w:t xml:space="preserve"> infection and hospitalization in high-risk patients in the year following detection. PLoS One</w:t>
      </w:r>
      <w:r w:rsidR="00DC35DE" w:rsidRPr="00ED36BF">
        <w:rPr>
          <w:sz w:val="20"/>
          <w:szCs w:val="20"/>
        </w:rPr>
        <w:t>.</w:t>
      </w:r>
      <w:r w:rsidRPr="00ED36BF">
        <w:rPr>
          <w:sz w:val="20"/>
          <w:szCs w:val="20"/>
        </w:rPr>
        <w:t xml:space="preserve"> 2011;6(9):e24340. PMID: 21949707.</w:t>
      </w:r>
    </w:p>
    <w:p w14:paraId="51CD8D1E" w14:textId="578F10AD" w:rsidR="008D4B4A" w:rsidRPr="00ED36BF" w:rsidRDefault="008D4B4A" w:rsidP="004E5A9F">
      <w:pPr>
        <w:pStyle w:val="RefList"/>
        <w:keepLines/>
        <w:numPr>
          <w:ilvl w:val="0"/>
          <w:numId w:val="31"/>
        </w:numPr>
        <w:spacing w:before="120"/>
        <w:ind w:left="360"/>
        <w:rPr>
          <w:sz w:val="20"/>
          <w:szCs w:val="20"/>
        </w:rPr>
      </w:pPr>
      <w:r w:rsidRPr="00ED36BF">
        <w:rPr>
          <w:sz w:val="20"/>
          <w:szCs w:val="20"/>
        </w:rPr>
        <w:t>Ellingson K, Haas JP, Aiello AE, et al. Strategies to prevent healthcare-associated infections through hand hygiene. Infect Control Hosp Epidemiol</w:t>
      </w:r>
      <w:r w:rsidR="00DC35DE" w:rsidRPr="00ED36BF">
        <w:rPr>
          <w:sz w:val="20"/>
          <w:szCs w:val="20"/>
        </w:rPr>
        <w:t>.</w:t>
      </w:r>
      <w:r w:rsidRPr="00ED36BF">
        <w:rPr>
          <w:sz w:val="20"/>
          <w:szCs w:val="20"/>
        </w:rPr>
        <w:t xml:space="preserve"> 2014 Sep;35 Suppl 2:S155-78. PMID: 25376074.</w:t>
      </w:r>
    </w:p>
    <w:p w14:paraId="55AB9196" w14:textId="041B8A20" w:rsidR="008D4B4A" w:rsidRPr="00ED36BF" w:rsidRDefault="008D4B4A" w:rsidP="004E5A9F">
      <w:pPr>
        <w:pStyle w:val="RefList"/>
        <w:keepLines/>
        <w:numPr>
          <w:ilvl w:val="0"/>
          <w:numId w:val="31"/>
        </w:numPr>
        <w:spacing w:before="120"/>
        <w:ind w:left="360"/>
        <w:rPr>
          <w:sz w:val="20"/>
          <w:szCs w:val="20"/>
        </w:rPr>
      </w:pPr>
      <w:r w:rsidRPr="00ED36BF">
        <w:rPr>
          <w:sz w:val="20"/>
          <w:szCs w:val="20"/>
        </w:rPr>
        <w:t>Gould IM. Alexander Gordon, puerperal sepsis, and modern theories of infection control--Semmelweis in perspective. Lancet Infect Dis</w:t>
      </w:r>
      <w:r w:rsidR="00F7751F" w:rsidRPr="00ED36BF">
        <w:rPr>
          <w:sz w:val="20"/>
          <w:szCs w:val="20"/>
        </w:rPr>
        <w:t>.</w:t>
      </w:r>
      <w:r w:rsidRPr="00ED36BF">
        <w:rPr>
          <w:sz w:val="20"/>
          <w:szCs w:val="20"/>
        </w:rPr>
        <w:t xml:space="preserve"> 2010 Apr;10(4):275-8. PMID: 20334850.</w:t>
      </w:r>
    </w:p>
    <w:p w14:paraId="31FD1198" w14:textId="0A96686C" w:rsidR="008D4B4A" w:rsidRPr="00ED36BF" w:rsidRDefault="008D4B4A" w:rsidP="004E5A9F">
      <w:pPr>
        <w:pStyle w:val="RefList"/>
        <w:keepLines/>
        <w:numPr>
          <w:ilvl w:val="0"/>
          <w:numId w:val="31"/>
        </w:numPr>
        <w:spacing w:before="120"/>
        <w:ind w:left="360"/>
        <w:rPr>
          <w:sz w:val="20"/>
          <w:szCs w:val="20"/>
        </w:rPr>
      </w:pPr>
      <w:r w:rsidRPr="00ED36BF">
        <w:rPr>
          <w:sz w:val="20"/>
          <w:szCs w:val="20"/>
        </w:rPr>
        <w:t>Lane HJ, Blum N, Fee E. Oliver Wendell Holmes (1809-1894) and Ignaz Philipp Semmelweis (1818-1865): preventing the transmission of puerperal fever. Am J Public Health</w:t>
      </w:r>
      <w:r w:rsidR="00F7751F" w:rsidRPr="00ED36BF">
        <w:rPr>
          <w:sz w:val="20"/>
          <w:szCs w:val="20"/>
        </w:rPr>
        <w:t>.</w:t>
      </w:r>
      <w:r w:rsidRPr="00ED36BF">
        <w:rPr>
          <w:sz w:val="20"/>
          <w:szCs w:val="20"/>
        </w:rPr>
        <w:t xml:space="preserve"> 2010 Jun;100(6):1008-9. PMID: 20395569.</w:t>
      </w:r>
    </w:p>
    <w:p w14:paraId="7F95F59A" w14:textId="7BA4DB46" w:rsidR="00443230" w:rsidRDefault="008D4B4A" w:rsidP="004E5A9F">
      <w:pPr>
        <w:pStyle w:val="RefList"/>
        <w:keepLines/>
        <w:numPr>
          <w:ilvl w:val="0"/>
          <w:numId w:val="31"/>
        </w:numPr>
        <w:spacing w:before="120"/>
        <w:ind w:left="360"/>
        <w:rPr>
          <w:sz w:val="20"/>
          <w:szCs w:val="20"/>
        </w:rPr>
      </w:pPr>
      <w:r w:rsidRPr="00ED36BF">
        <w:rPr>
          <w:sz w:val="20"/>
          <w:szCs w:val="20"/>
        </w:rPr>
        <w:t>Boyce JM, Pittet D; Healthcare Infection Control Practices Advisory Committee; HICPAC/SHEA/APIC/IDSA Hand Hygiene Task Force. Guideline for hand hygiene in health-care settings. Recommendations of the Healthcare Infection Control Practices Advisory Committee and the HICPAC/SHEA/APIC/IDSA Hand Hygiene Task Force. MMWR Recomm Rep</w:t>
      </w:r>
      <w:r w:rsidR="00F7751F" w:rsidRPr="00ED36BF">
        <w:rPr>
          <w:sz w:val="20"/>
          <w:szCs w:val="20"/>
        </w:rPr>
        <w:t>.</w:t>
      </w:r>
      <w:r w:rsidRPr="00ED36BF">
        <w:rPr>
          <w:sz w:val="20"/>
          <w:szCs w:val="20"/>
        </w:rPr>
        <w:t xml:space="preserve"> 2002 Oct 25;51(RR-16):1-45. PMID: 12418624. </w:t>
      </w:r>
    </w:p>
    <w:p w14:paraId="77F62D2D" w14:textId="77777777" w:rsidR="005E5722" w:rsidRDefault="005E5722" w:rsidP="005E5722">
      <w:pPr>
        <w:pStyle w:val="RefList"/>
        <w:keepLines/>
        <w:numPr>
          <w:ilvl w:val="0"/>
          <w:numId w:val="0"/>
        </w:numPr>
        <w:spacing w:before="120"/>
        <w:ind w:left="360" w:hanging="360"/>
        <w:rPr>
          <w:sz w:val="20"/>
          <w:szCs w:val="20"/>
        </w:rPr>
      </w:pPr>
    </w:p>
    <w:p w14:paraId="632F4085" w14:textId="77777777" w:rsidR="005E5722" w:rsidRDefault="005E5722" w:rsidP="005E5722">
      <w:pPr>
        <w:pStyle w:val="RefList"/>
        <w:keepLines/>
        <w:numPr>
          <w:ilvl w:val="0"/>
          <w:numId w:val="0"/>
        </w:numPr>
        <w:spacing w:before="120"/>
        <w:ind w:left="360" w:hanging="360"/>
        <w:rPr>
          <w:sz w:val="20"/>
          <w:szCs w:val="20"/>
        </w:rPr>
      </w:pPr>
    </w:p>
    <w:p w14:paraId="5601D855" w14:textId="77777777" w:rsidR="005E5722" w:rsidRDefault="005E5722" w:rsidP="005E5722">
      <w:pPr>
        <w:pStyle w:val="RefList"/>
        <w:keepLines/>
        <w:numPr>
          <w:ilvl w:val="0"/>
          <w:numId w:val="0"/>
        </w:numPr>
        <w:spacing w:before="120"/>
        <w:ind w:left="360" w:hanging="360"/>
        <w:rPr>
          <w:sz w:val="20"/>
          <w:szCs w:val="20"/>
        </w:rPr>
      </w:pPr>
    </w:p>
    <w:p w14:paraId="4C2F542E" w14:textId="77777777" w:rsidR="005E5722" w:rsidRDefault="005E5722" w:rsidP="005E5722">
      <w:pPr>
        <w:pStyle w:val="RefList"/>
        <w:keepLines/>
        <w:numPr>
          <w:ilvl w:val="0"/>
          <w:numId w:val="0"/>
        </w:numPr>
        <w:spacing w:before="120"/>
        <w:ind w:left="360" w:hanging="360"/>
        <w:rPr>
          <w:sz w:val="20"/>
          <w:szCs w:val="20"/>
        </w:rPr>
      </w:pPr>
    </w:p>
    <w:p w14:paraId="4C199F21" w14:textId="77777777" w:rsidR="005E5722" w:rsidRDefault="005E5722" w:rsidP="005E5722">
      <w:pPr>
        <w:pStyle w:val="RefList"/>
        <w:keepLines/>
        <w:numPr>
          <w:ilvl w:val="0"/>
          <w:numId w:val="0"/>
        </w:numPr>
        <w:spacing w:before="120"/>
        <w:ind w:left="360" w:hanging="360"/>
        <w:rPr>
          <w:sz w:val="20"/>
          <w:szCs w:val="20"/>
        </w:rPr>
      </w:pPr>
    </w:p>
    <w:p w14:paraId="610C83C3" w14:textId="77777777" w:rsidR="005E5722" w:rsidRDefault="005E5722" w:rsidP="005E5722">
      <w:pPr>
        <w:pStyle w:val="RefList"/>
        <w:keepLines/>
        <w:numPr>
          <w:ilvl w:val="0"/>
          <w:numId w:val="0"/>
        </w:numPr>
        <w:spacing w:before="120"/>
        <w:ind w:left="360" w:hanging="360"/>
        <w:rPr>
          <w:sz w:val="20"/>
          <w:szCs w:val="20"/>
        </w:rPr>
      </w:pPr>
    </w:p>
    <w:p w14:paraId="67F543BB" w14:textId="77777777" w:rsidR="005E5722" w:rsidRDefault="005E5722" w:rsidP="005E5722">
      <w:pPr>
        <w:pStyle w:val="RefList"/>
        <w:keepLines/>
        <w:numPr>
          <w:ilvl w:val="0"/>
          <w:numId w:val="0"/>
        </w:numPr>
        <w:spacing w:before="120"/>
        <w:ind w:left="360" w:hanging="360"/>
        <w:rPr>
          <w:sz w:val="20"/>
          <w:szCs w:val="20"/>
        </w:rPr>
      </w:pPr>
    </w:p>
    <w:p w14:paraId="3ADDE7D1" w14:textId="77777777" w:rsidR="005E5722" w:rsidRDefault="005E5722" w:rsidP="005E5722">
      <w:pPr>
        <w:pStyle w:val="RefList"/>
        <w:keepLines/>
        <w:numPr>
          <w:ilvl w:val="0"/>
          <w:numId w:val="0"/>
        </w:numPr>
        <w:spacing w:before="120"/>
        <w:ind w:left="360" w:hanging="360"/>
        <w:rPr>
          <w:sz w:val="20"/>
          <w:szCs w:val="20"/>
        </w:rPr>
      </w:pPr>
    </w:p>
    <w:p w14:paraId="6ACAEC7D" w14:textId="77777777" w:rsidR="005E5722" w:rsidRDefault="005E5722" w:rsidP="005E5722">
      <w:pPr>
        <w:pStyle w:val="RefList"/>
        <w:keepLines/>
        <w:numPr>
          <w:ilvl w:val="0"/>
          <w:numId w:val="0"/>
        </w:numPr>
        <w:spacing w:before="120"/>
        <w:ind w:left="360" w:hanging="360"/>
        <w:rPr>
          <w:sz w:val="20"/>
          <w:szCs w:val="20"/>
        </w:rPr>
      </w:pPr>
    </w:p>
    <w:p w14:paraId="66A0EEF0" w14:textId="77777777" w:rsidR="005E5722" w:rsidRDefault="005E5722" w:rsidP="005E5722">
      <w:pPr>
        <w:pStyle w:val="RefList"/>
        <w:keepLines/>
        <w:numPr>
          <w:ilvl w:val="0"/>
          <w:numId w:val="0"/>
        </w:numPr>
        <w:spacing w:before="120"/>
        <w:ind w:left="360" w:hanging="360"/>
        <w:rPr>
          <w:sz w:val="20"/>
          <w:szCs w:val="20"/>
        </w:rPr>
      </w:pPr>
    </w:p>
    <w:p w14:paraId="3510D8FA" w14:textId="77777777" w:rsidR="005E5722" w:rsidRDefault="005E5722" w:rsidP="005E5722">
      <w:pPr>
        <w:pStyle w:val="RefList"/>
        <w:keepLines/>
        <w:numPr>
          <w:ilvl w:val="0"/>
          <w:numId w:val="0"/>
        </w:numPr>
        <w:spacing w:before="120"/>
        <w:ind w:left="360" w:hanging="360"/>
        <w:jc w:val="right"/>
        <w:rPr>
          <w:sz w:val="20"/>
          <w:szCs w:val="20"/>
        </w:rPr>
      </w:pPr>
    </w:p>
    <w:p w14:paraId="7D0ED8F2" w14:textId="77777777" w:rsidR="005E5722" w:rsidRDefault="005E5722" w:rsidP="005E5722">
      <w:pPr>
        <w:pStyle w:val="RefList"/>
        <w:keepLines/>
        <w:numPr>
          <w:ilvl w:val="0"/>
          <w:numId w:val="0"/>
        </w:numPr>
        <w:spacing w:before="120"/>
        <w:ind w:left="360" w:hanging="360"/>
        <w:jc w:val="right"/>
        <w:rPr>
          <w:sz w:val="20"/>
          <w:szCs w:val="20"/>
        </w:rPr>
      </w:pPr>
    </w:p>
    <w:p w14:paraId="1A3FDBDF" w14:textId="77777777" w:rsidR="005E5722" w:rsidRDefault="005E5722" w:rsidP="005E5722">
      <w:pPr>
        <w:pStyle w:val="RefList"/>
        <w:keepLines/>
        <w:numPr>
          <w:ilvl w:val="0"/>
          <w:numId w:val="0"/>
        </w:numPr>
        <w:spacing w:before="120"/>
        <w:ind w:left="360" w:hanging="360"/>
        <w:jc w:val="right"/>
        <w:rPr>
          <w:sz w:val="20"/>
          <w:szCs w:val="20"/>
        </w:rPr>
      </w:pPr>
    </w:p>
    <w:p w14:paraId="7C2BA34A" w14:textId="77777777" w:rsidR="005E5722" w:rsidRDefault="005E5722" w:rsidP="005E5722">
      <w:pPr>
        <w:pStyle w:val="RefList"/>
        <w:keepLines/>
        <w:numPr>
          <w:ilvl w:val="0"/>
          <w:numId w:val="0"/>
        </w:numPr>
        <w:spacing w:before="120"/>
        <w:ind w:left="360" w:hanging="360"/>
        <w:jc w:val="right"/>
        <w:rPr>
          <w:sz w:val="20"/>
          <w:szCs w:val="20"/>
        </w:rPr>
      </w:pPr>
    </w:p>
    <w:p w14:paraId="595B8DBC" w14:textId="17ED428D" w:rsidR="005E5722" w:rsidRDefault="009E0E35" w:rsidP="009E0E35">
      <w:pPr>
        <w:pStyle w:val="RefList"/>
        <w:keepLines/>
        <w:numPr>
          <w:ilvl w:val="0"/>
          <w:numId w:val="0"/>
        </w:numPr>
        <w:spacing w:after="0"/>
        <w:ind w:left="360" w:hanging="360"/>
        <w:jc w:val="right"/>
        <w:rPr>
          <w:sz w:val="20"/>
          <w:szCs w:val="20"/>
        </w:rPr>
      </w:pPr>
      <w:r>
        <w:rPr>
          <w:sz w:val="20"/>
          <w:szCs w:val="20"/>
        </w:rPr>
        <w:t>AHRQ Pub. No. 25-0007</w:t>
      </w:r>
    </w:p>
    <w:p w14:paraId="02C4578A" w14:textId="3160D5DF" w:rsidR="009E0E35" w:rsidRPr="00ED36BF" w:rsidRDefault="009E0E35" w:rsidP="009E0E35">
      <w:pPr>
        <w:pStyle w:val="RefList"/>
        <w:keepLines/>
        <w:numPr>
          <w:ilvl w:val="0"/>
          <w:numId w:val="0"/>
        </w:numPr>
        <w:spacing w:after="0"/>
        <w:ind w:left="360" w:hanging="360"/>
        <w:jc w:val="right"/>
        <w:rPr>
          <w:sz w:val="20"/>
          <w:szCs w:val="20"/>
        </w:rPr>
      </w:pPr>
      <w:r>
        <w:rPr>
          <w:sz w:val="20"/>
          <w:szCs w:val="20"/>
        </w:rPr>
        <w:t>October 2024</w:t>
      </w:r>
    </w:p>
    <w:sectPr w:rsidR="009E0E35" w:rsidRPr="00ED36BF" w:rsidSect="006921A2">
      <w:endnotePr>
        <w:numFmt w:val="decimal"/>
      </w:endnotePr>
      <w:type w:val="continuous"/>
      <w:pgSz w:w="12240" w:h="15840"/>
      <w:pgMar w:top="720" w:right="720" w:bottom="720" w:left="720" w:header="864" w:footer="432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57E82" w14:textId="77777777" w:rsidR="004A4012" w:rsidRDefault="004A4012" w:rsidP="00B81F18">
      <w:r>
        <w:separator/>
      </w:r>
    </w:p>
    <w:p w14:paraId="11F3209D" w14:textId="77777777" w:rsidR="004A4012" w:rsidRDefault="004A4012" w:rsidP="00B81F18"/>
  </w:endnote>
  <w:endnote w:type="continuationSeparator" w:id="0">
    <w:p w14:paraId="4FB9F621" w14:textId="77777777" w:rsidR="004A4012" w:rsidRDefault="004A4012" w:rsidP="00B81F18">
      <w:r>
        <w:continuationSeparator/>
      </w:r>
    </w:p>
    <w:p w14:paraId="2C2439F0" w14:textId="77777777" w:rsidR="004A4012" w:rsidRDefault="004A4012" w:rsidP="00B81F18"/>
  </w:endnote>
  <w:endnote w:type="continuationNotice" w:id="1">
    <w:p w14:paraId="2769D6D2" w14:textId="77777777" w:rsidR="004A4012" w:rsidRDefault="004A4012" w:rsidP="00B81F18"/>
    <w:p w14:paraId="22630856" w14:textId="77777777" w:rsidR="004A4012" w:rsidRDefault="004A4012" w:rsidP="00B81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BFB2B" w14:textId="4D27CBCD" w:rsidR="008D58E4" w:rsidRPr="004835BF" w:rsidRDefault="004835BF" w:rsidP="004835BF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>
      <w:t xml:space="preserve"> </w:t>
    </w:r>
    <w:r>
      <w:tab/>
    </w:r>
    <w:r w:rsidR="00FA7CD7">
      <w:t>Understanding MRSA: Sources and Pathways</w:t>
    </w:r>
    <w:r w:rsidR="00FA7CD7" w:rsidRPr="00F91E7D">
      <w:rPr>
        <w:b/>
        <w:bCs w:val="0"/>
      </w:rPr>
      <w:t xml:space="preserve"> </w:t>
    </w:r>
    <w:r w:rsidRPr="00F91E7D">
      <w:rPr>
        <w:b/>
        <w:bCs w:val="0"/>
      </w:rPr>
      <w:t xml:space="preserve">| </w:t>
    </w:r>
    <w:r w:rsidRPr="00F91E7D">
      <w:rPr>
        <w:b/>
        <w:bCs w:val="0"/>
      </w:rPr>
      <w:fldChar w:fldCharType="begin"/>
    </w:r>
    <w:r w:rsidRPr="00F91E7D">
      <w:rPr>
        <w:b/>
        <w:bCs w:val="0"/>
      </w:rPr>
      <w:instrText xml:space="preserve"> PAGE   \* MERGEFORMAT </w:instrText>
    </w:r>
    <w:r w:rsidRPr="00F91E7D">
      <w:rPr>
        <w:b/>
        <w:bCs w:val="0"/>
      </w:rPr>
      <w:fldChar w:fldCharType="separate"/>
    </w:r>
    <w:r>
      <w:rPr>
        <w:b/>
        <w:bCs w:val="0"/>
      </w:rPr>
      <w:t>1</w:t>
    </w:r>
    <w:r w:rsidRPr="00F91E7D">
      <w:rPr>
        <w:b/>
        <w:bCs w:val="0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FE75" w14:textId="78A4BB58" w:rsidR="00D252FA" w:rsidRPr="008D58E4" w:rsidRDefault="00C230AB" w:rsidP="008D58E4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 w:rsidR="008D58E4">
      <w:t xml:space="preserve"> </w:t>
    </w:r>
    <w:r w:rsidR="008D58E4">
      <w:tab/>
    </w:r>
    <w:r w:rsidR="00FA7CD7">
      <w:t>Understanding MRSA: Sources and Pathways</w:t>
    </w:r>
    <w:r w:rsidR="008D58E4" w:rsidRPr="00F91E7D">
      <w:rPr>
        <w:b/>
        <w:bCs w:val="0"/>
      </w:rPr>
      <w:t xml:space="preserve"> | </w:t>
    </w:r>
    <w:r w:rsidR="008D58E4" w:rsidRPr="00F91E7D">
      <w:rPr>
        <w:b/>
        <w:bCs w:val="0"/>
      </w:rPr>
      <w:fldChar w:fldCharType="begin"/>
    </w:r>
    <w:r w:rsidR="008D58E4" w:rsidRPr="00F91E7D">
      <w:rPr>
        <w:b/>
        <w:bCs w:val="0"/>
      </w:rPr>
      <w:instrText xml:space="preserve"> PAGE   \* MERGEFORMAT </w:instrText>
    </w:r>
    <w:r w:rsidR="008D58E4" w:rsidRPr="00F91E7D">
      <w:rPr>
        <w:b/>
        <w:bCs w:val="0"/>
      </w:rPr>
      <w:fldChar w:fldCharType="separate"/>
    </w:r>
    <w:r w:rsidR="008D58E4">
      <w:rPr>
        <w:b/>
        <w:bCs w:val="0"/>
      </w:rPr>
      <w:t>2</w:t>
    </w:r>
    <w:r w:rsidR="008D58E4" w:rsidRPr="00F91E7D">
      <w:rPr>
        <w:b/>
        <w:bCs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374D7" w14:textId="77777777" w:rsidR="004A4012" w:rsidRDefault="004A4012" w:rsidP="00B81F18">
      <w:r>
        <w:separator/>
      </w:r>
    </w:p>
    <w:p w14:paraId="2A562BFB" w14:textId="77777777" w:rsidR="004A4012" w:rsidRDefault="004A4012" w:rsidP="00B81F18"/>
  </w:footnote>
  <w:footnote w:type="continuationSeparator" w:id="0">
    <w:p w14:paraId="68518E6C" w14:textId="77777777" w:rsidR="004A4012" w:rsidRDefault="004A4012" w:rsidP="00B81F18">
      <w:r>
        <w:continuationSeparator/>
      </w:r>
    </w:p>
    <w:p w14:paraId="1BD1AE5C" w14:textId="77777777" w:rsidR="004A4012" w:rsidRDefault="004A4012" w:rsidP="00B81F18"/>
  </w:footnote>
  <w:footnote w:type="continuationNotice" w:id="1">
    <w:p w14:paraId="5E24DB7C" w14:textId="77777777" w:rsidR="004A4012" w:rsidRDefault="004A4012" w:rsidP="00B81F18"/>
    <w:p w14:paraId="47051856" w14:textId="77777777" w:rsidR="004A4012" w:rsidRDefault="004A4012" w:rsidP="00B81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6F03" w14:textId="36E4D88A" w:rsidR="00213294" w:rsidRPr="00A8289D" w:rsidRDefault="00A8289D" w:rsidP="00BF0900">
    <w:pPr>
      <w:pStyle w:val="Title"/>
      <w:tabs>
        <w:tab w:val="clear" w:pos="10800"/>
        <w:tab w:val="right" w:pos="9360"/>
      </w:tabs>
      <w:spacing w:before="0" w:line="216" w:lineRule="auto"/>
      <w:ind w:right="1440"/>
      <w:jc w:val="center"/>
      <w:rPr>
        <w:sz w:val="40"/>
        <w:szCs w:val="40"/>
      </w:rPr>
    </w:pPr>
    <w:r w:rsidRPr="00A8289D">
      <w:rPr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0784E3E0" wp14:editId="3413E6B2">
          <wp:simplePos x="0" y="0"/>
          <wp:positionH relativeFrom="page">
            <wp:posOffset>6502514</wp:posOffset>
          </wp:positionH>
          <wp:positionV relativeFrom="paragraph">
            <wp:posOffset>69850</wp:posOffset>
          </wp:positionV>
          <wp:extent cx="1078865" cy="447675"/>
          <wp:effectExtent l="0" t="0" r="6985" b="0"/>
          <wp:wrapNone/>
          <wp:docPr id="1781978846" name="Picture 178197884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978846" name="Picture 178197884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1165" w:rsidRPr="00A8289D">
      <w:rPr>
        <w:noProof/>
        <w:sz w:val="40"/>
        <w:szCs w:val="40"/>
      </w:rPr>
      <w:drawing>
        <wp:anchor distT="0" distB="0" distL="114300" distR="114300" simplePos="0" relativeHeight="251658242" behindDoc="0" locked="0" layoutInCell="1" allowOverlap="1" wp14:anchorId="78CC2596" wp14:editId="0EC9F4B6">
          <wp:simplePos x="0" y="0"/>
          <wp:positionH relativeFrom="page">
            <wp:posOffset>274320</wp:posOffset>
          </wp:positionH>
          <wp:positionV relativeFrom="page">
            <wp:posOffset>182880</wp:posOffset>
          </wp:positionV>
          <wp:extent cx="914400" cy="914400"/>
          <wp:effectExtent l="0" t="0" r="0" b="0"/>
          <wp:wrapNone/>
          <wp:docPr id="1570372257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372257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8289D">
      <w:rPr>
        <w:noProof/>
        <w:sz w:val="40"/>
        <w:szCs w:val="40"/>
      </w:rPr>
      <w:t>Understanding MRSA: Sources and Pathways of MRSA Transmission and Infection</w:t>
    </w:r>
  </w:p>
  <w:p w14:paraId="11C015C9" w14:textId="4FB164D9" w:rsidR="00E66198" w:rsidRPr="0018752C" w:rsidRDefault="006154EE" w:rsidP="003B4207">
    <w:pPr>
      <w:pStyle w:val="Subtitle"/>
      <w:spacing w:before="160" w:after="0"/>
    </w:pPr>
    <w:r>
      <w:rPr>
        <w:noProof/>
      </w:rPr>
      <w:drawing>
        <wp:anchor distT="0" distB="0" distL="114300" distR="114300" simplePos="0" relativeHeight="251658241" behindDoc="1" locked="1" layoutInCell="1" allowOverlap="1" wp14:anchorId="1BA880BE" wp14:editId="74D8213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914400"/>
          <wp:effectExtent l="0" t="0" r="0" b="0"/>
          <wp:wrapNone/>
          <wp:docPr id="1618336458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336458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15524"/>
                  <a:stretch/>
                </pic:blipFill>
                <pic:spPr bwMode="auto">
                  <a:xfrm>
                    <a:off x="0" y="0"/>
                    <a:ext cx="7772400" cy="914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4582">
      <w:t>ICU &amp; Non-ICU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0430"/>
    <w:multiLevelType w:val="hybridMultilevel"/>
    <w:tmpl w:val="100050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474DB"/>
    <w:multiLevelType w:val="hybridMultilevel"/>
    <w:tmpl w:val="B5D2F0E6"/>
    <w:lvl w:ilvl="0" w:tplc="6360F19E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000000" w:themeColor="text1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7B639D"/>
    <w:multiLevelType w:val="hybridMultilevel"/>
    <w:tmpl w:val="9B44F40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F6657"/>
    <w:multiLevelType w:val="hybridMultilevel"/>
    <w:tmpl w:val="DBFE56D4"/>
    <w:lvl w:ilvl="0" w:tplc="625A755C">
      <w:start w:val="19"/>
      <w:numFmt w:val="bullet"/>
      <w:lvlText w:val="-"/>
      <w:lvlJc w:val="left"/>
      <w:pPr>
        <w:ind w:left="4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2C00EB6"/>
    <w:multiLevelType w:val="hybridMultilevel"/>
    <w:tmpl w:val="1766FFAC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1432"/>
    <w:multiLevelType w:val="hybridMultilevel"/>
    <w:tmpl w:val="E5E4D88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144AE"/>
    <w:multiLevelType w:val="hybridMultilevel"/>
    <w:tmpl w:val="31784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C06B9"/>
    <w:multiLevelType w:val="hybridMultilevel"/>
    <w:tmpl w:val="1A62833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B17B1"/>
    <w:multiLevelType w:val="hybridMultilevel"/>
    <w:tmpl w:val="D4E850B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E02C6A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768A1AB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7076A"/>
    <w:multiLevelType w:val="hybridMultilevel"/>
    <w:tmpl w:val="AA24D190"/>
    <w:lvl w:ilvl="0" w:tplc="6EAC2700">
      <w:start w:val="1"/>
      <w:numFmt w:val="bullet"/>
      <w:lvlText w:val="④"/>
      <w:lvlJc w:val="left"/>
      <w:pPr>
        <w:ind w:left="720" w:hanging="360"/>
      </w:pPr>
      <w:rPr>
        <w:rFonts w:ascii="Calibri" w:hAnsi="Calibri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714D30"/>
    <w:multiLevelType w:val="hybridMultilevel"/>
    <w:tmpl w:val="F2321BC6"/>
    <w:lvl w:ilvl="0" w:tplc="AE406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9B6BD1"/>
    <w:multiLevelType w:val="hybridMultilevel"/>
    <w:tmpl w:val="323A4B00"/>
    <w:lvl w:ilvl="0" w:tplc="B922EE16">
      <w:start w:val="1"/>
      <w:numFmt w:val="decimal"/>
      <w:pStyle w:val="RefList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B00A1C"/>
    <w:multiLevelType w:val="hybridMultilevel"/>
    <w:tmpl w:val="14D6A736"/>
    <w:lvl w:ilvl="0" w:tplc="C9B24A6A">
      <w:start w:val="1"/>
      <w:numFmt w:val="bullet"/>
      <w:lvlText w:val="①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75144"/>
    <w:multiLevelType w:val="hybridMultilevel"/>
    <w:tmpl w:val="049AE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60F1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  <w:sz w:val="22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00F07"/>
    <w:multiLevelType w:val="hybridMultilevel"/>
    <w:tmpl w:val="427264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4949AF"/>
    <w:multiLevelType w:val="hybridMultilevel"/>
    <w:tmpl w:val="F458797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14A6F"/>
    <w:multiLevelType w:val="hybridMultilevel"/>
    <w:tmpl w:val="87D46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942D5"/>
    <w:multiLevelType w:val="hybridMultilevel"/>
    <w:tmpl w:val="1AB87538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EF3E58"/>
    <w:multiLevelType w:val="hybridMultilevel"/>
    <w:tmpl w:val="F5EA9F6A"/>
    <w:lvl w:ilvl="0" w:tplc="C246A3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DA3" w:themeColor="accen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D14F39"/>
    <w:multiLevelType w:val="hybridMultilevel"/>
    <w:tmpl w:val="1E363DAA"/>
    <w:lvl w:ilvl="0" w:tplc="2E56F58A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72ABC"/>
    <w:multiLevelType w:val="hybridMultilevel"/>
    <w:tmpl w:val="404AB78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4D1716"/>
    <w:multiLevelType w:val="hybridMultilevel"/>
    <w:tmpl w:val="D02E0EC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74DD8"/>
    <w:multiLevelType w:val="hybridMultilevel"/>
    <w:tmpl w:val="261A34A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048A0"/>
    <w:multiLevelType w:val="hybridMultilevel"/>
    <w:tmpl w:val="C3DA28FC"/>
    <w:lvl w:ilvl="0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  <w:color w:val="000000" w:themeColor="text1"/>
      </w:rPr>
    </w:lvl>
    <w:lvl w:ilvl="1" w:tplc="FFFFFFFF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4" w15:restartNumberingAfterBreak="0">
    <w:nsid w:val="44070391"/>
    <w:multiLevelType w:val="hybridMultilevel"/>
    <w:tmpl w:val="10DC1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084425"/>
    <w:multiLevelType w:val="hybridMultilevel"/>
    <w:tmpl w:val="F50C7BB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A1C13"/>
    <w:multiLevelType w:val="hybridMultilevel"/>
    <w:tmpl w:val="9AB49936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B5700"/>
    <w:multiLevelType w:val="hybridMultilevel"/>
    <w:tmpl w:val="89D0606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007DA3" w:themeColor="accent1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21016C"/>
    <w:multiLevelType w:val="hybridMultilevel"/>
    <w:tmpl w:val="840EB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147AE"/>
    <w:multiLevelType w:val="hybridMultilevel"/>
    <w:tmpl w:val="BF98B328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0" w15:restartNumberingAfterBreak="0">
    <w:nsid w:val="506919B5"/>
    <w:multiLevelType w:val="hybridMultilevel"/>
    <w:tmpl w:val="BEE6F21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3C1420"/>
    <w:multiLevelType w:val="hybridMultilevel"/>
    <w:tmpl w:val="966E83E8"/>
    <w:lvl w:ilvl="0" w:tplc="5304185A">
      <w:start w:val="1"/>
      <w:numFmt w:val="bullet"/>
      <w:lvlText w:val="②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A00C20"/>
    <w:multiLevelType w:val="hybridMultilevel"/>
    <w:tmpl w:val="C608A9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F6736E"/>
    <w:multiLevelType w:val="hybridMultilevel"/>
    <w:tmpl w:val="A65211AE"/>
    <w:lvl w:ilvl="0" w:tplc="18BC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B509C4"/>
    <w:multiLevelType w:val="hybridMultilevel"/>
    <w:tmpl w:val="0E289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F20AC0"/>
    <w:multiLevelType w:val="hybridMultilevel"/>
    <w:tmpl w:val="15F008A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5A7BDD"/>
    <w:multiLevelType w:val="hybridMultilevel"/>
    <w:tmpl w:val="469C391C"/>
    <w:lvl w:ilvl="0" w:tplc="11F2EAF8">
      <w:start w:val="1"/>
      <w:numFmt w:val="bullet"/>
      <w:lvlText w:val="③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2B165E"/>
    <w:multiLevelType w:val="hybridMultilevel"/>
    <w:tmpl w:val="D21E831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E00A8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000000" w:themeColor="text1"/>
        <w:sz w:val="22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C9108E"/>
    <w:multiLevelType w:val="hybridMultilevel"/>
    <w:tmpl w:val="A274CF1A"/>
    <w:lvl w:ilvl="0" w:tplc="9ABCAAA8">
      <w:start w:val="1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78109D0"/>
    <w:multiLevelType w:val="hybridMultilevel"/>
    <w:tmpl w:val="57749798"/>
    <w:lvl w:ilvl="0" w:tplc="0748968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A17F4">
      <w:numFmt w:val="bullet"/>
      <w:lvlText w:val="-"/>
      <w:lvlJc w:val="left"/>
      <w:pPr>
        <w:ind w:left="2880" w:hanging="360"/>
      </w:pPr>
      <w:rPr>
        <w:rFonts w:ascii="Calibri" w:eastAsiaTheme="minorEastAsia" w:hAnsi="Calibri" w:hint="default"/>
        <w:b/>
        <w:i w:val="0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956786"/>
    <w:multiLevelType w:val="hybridMultilevel"/>
    <w:tmpl w:val="A388226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C4E0C"/>
    <w:multiLevelType w:val="hybridMultilevel"/>
    <w:tmpl w:val="D3C47F84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color w:val="000000" w:themeColor="text1"/>
      </w:rPr>
    </w:lvl>
    <w:lvl w:ilvl="1" w:tplc="04090005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2" w15:restartNumberingAfterBreak="0">
    <w:nsid w:val="74C02914"/>
    <w:multiLevelType w:val="hybridMultilevel"/>
    <w:tmpl w:val="B2307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46A3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DA3" w:themeColor="accent1"/>
        <w:sz w:val="22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F3450A"/>
    <w:multiLevelType w:val="hybridMultilevel"/>
    <w:tmpl w:val="539619D4"/>
    <w:lvl w:ilvl="0" w:tplc="374014A0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A70C1"/>
    <w:multiLevelType w:val="hybridMultilevel"/>
    <w:tmpl w:val="EB92EF0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14589"/>
    <w:multiLevelType w:val="hybridMultilevel"/>
    <w:tmpl w:val="A2C4B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9842158">
    <w:abstractNumId w:val="3"/>
  </w:num>
  <w:num w:numId="2" w16cid:durableId="964386636">
    <w:abstractNumId w:val="25"/>
  </w:num>
  <w:num w:numId="3" w16cid:durableId="1612324772">
    <w:abstractNumId w:val="17"/>
  </w:num>
  <w:num w:numId="4" w16cid:durableId="1610118098">
    <w:abstractNumId w:val="8"/>
  </w:num>
  <w:num w:numId="5" w16cid:durableId="965282052">
    <w:abstractNumId w:val="9"/>
  </w:num>
  <w:num w:numId="6" w16cid:durableId="1487550355">
    <w:abstractNumId w:val="20"/>
  </w:num>
  <w:num w:numId="7" w16cid:durableId="1607881260">
    <w:abstractNumId w:val="26"/>
  </w:num>
  <w:num w:numId="8" w16cid:durableId="64232993">
    <w:abstractNumId w:val="4"/>
  </w:num>
  <w:num w:numId="9" w16cid:durableId="514686567">
    <w:abstractNumId w:val="40"/>
  </w:num>
  <w:num w:numId="10" w16cid:durableId="390036818">
    <w:abstractNumId w:val="22"/>
  </w:num>
  <w:num w:numId="11" w16cid:durableId="520700836">
    <w:abstractNumId w:val="43"/>
  </w:num>
  <w:num w:numId="12" w16cid:durableId="1069108452">
    <w:abstractNumId w:val="12"/>
  </w:num>
  <w:num w:numId="13" w16cid:durableId="1677993966">
    <w:abstractNumId w:val="15"/>
  </w:num>
  <w:num w:numId="14" w16cid:durableId="650794716">
    <w:abstractNumId w:val="5"/>
  </w:num>
  <w:num w:numId="15" w16cid:durableId="2102558313">
    <w:abstractNumId w:val="7"/>
  </w:num>
  <w:num w:numId="16" w16cid:durableId="444083864">
    <w:abstractNumId w:val="31"/>
  </w:num>
  <w:num w:numId="17" w16cid:durableId="1123765670">
    <w:abstractNumId w:val="44"/>
  </w:num>
  <w:num w:numId="18" w16cid:durableId="412708243">
    <w:abstractNumId w:val="21"/>
  </w:num>
  <w:num w:numId="19" w16cid:durableId="1315262267">
    <w:abstractNumId w:val="30"/>
  </w:num>
  <w:num w:numId="20" w16cid:durableId="1467162012">
    <w:abstractNumId w:val="36"/>
  </w:num>
  <w:num w:numId="21" w16cid:durableId="1145045973">
    <w:abstractNumId w:val="2"/>
  </w:num>
  <w:num w:numId="22" w16cid:durableId="1826704735">
    <w:abstractNumId w:val="35"/>
  </w:num>
  <w:num w:numId="23" w16cid:durableId="1972199893">
    <w:abstractNumId w:val="38"/>
  </w:num>
  <w:num w:numId="24" w16cid:durableId="1373773576">
    <w:abstractNumId w:val="16"/>
  </w:num>
  <w:num w:numId="25" w16cid:durableId="1840274055">
    <w:abstractNumId w:val="11"/>
  </w:num>
  <w:num w:numId="26" w16cid:durableId="399136255">
    <w:abstractNumId w:val="33"/>
  </w:num>
  <w:num w:numId="27" w16cid:durableId="488641076">
    <w:abstractNumId w:val="39"/>
  </w:num>
  <w:num w:numId="28" w16cid:durableId="289022213">
    <w:abstractNumId w:val="29"/>
  </w:num>
  <w:num w:numId="29" w16cid:durableId="2054113765">
    <w:abstractNumId w:val="41"/>
  </w:num>
  <w:num w:numId="30" w16cid:durableId="1548764225">
    <w:abstractNumId w:val="18"/>
  </w:num>
  <w:num w:numId="31" w16cid:durableId="1819608377">
    <w:abstractNumId w:val="10"/>
  </w:num>
  <w:num w:numId="32" w16cid:durableId="1990091671">
    <w:abstractNumId w:val="23"/>
  </w:num>
  <w:num w:numId="33" w16cid:durableId="63335481">
    <w:abstractNumId w:val="6"/>
  </w:num>
  <w:num w:numId="34" w16cid:durableId="2025325236">
    <w:abstractNumId w:val="42"/>
  </w:num>
  <w:num w:numId="35" w16cid:durableId="1218511583">
    <w:abstractNumId w:val="32"/>
  </w:num>
  <w:num w:numId="36" w16cid:durableId="740761555">
    <w:abstractNumId w:val="14"/>
  </w:num>
  <w:num w:numId="37" w16cid:durableId="1446190354">
    <w:abstractNumId w:val="45"/>
  </w:num>
  <w:num w:numId="38" w16cid:durableId="750126455">
    <w:abstractNumId w:val="28"/>
  </w:num>
  <w:num w:numId="39" w16cid:durableId="31616122">
    <w:abstractNumId w:val="34"/>
  </w:num>
  <w:num w:numId="40" w16cid:durableId="1719549717">
    <w:abstractNumId w:val="24"/>
  </w:num>
  <w:num w:numId="41" w16cid:durableId="1862208503">
    <w:abstractNumId w:val="19"/>
  </w:num>
  <w:num w:numId="42" w16cid:durableId="1845822809">
    <w:abstractNumId w:val="27"/>
  </w:num>
  <w:num w:numId="43" w16cid:durableId="1100225536">
    <w:abstractNumId w:val="1"/>
  </w:num>
  <w:num w:numId="44" w16cid:durableId="1684044898">
    <w:abstractNumId w:val="13"/>
  </w:num>
  <w:num w:numId="45" w16cid:durableId="1166556042">
    <w:abstractNumId w:val="37"/>
  </w:num>
  <w:num w:numId="46" w16cid:durableId="1699429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11D1"/>
    <w:rsid w:val="000014BD"/>
    <w:rsid w:val="00003F47"/>
    <w:rsid w:val="00005293"/>
    <w:rsid w:val="00013951"/>
    <w:rsid w:val="00015744"/>
    <w:rsid w:val="00015BAC"/>
    <w:rsid w:val="00017723"/>
    <w:rsid w:val="000325E8"/>
    <w:rsid w:val="00032EA5"/>
    <w:rsid w:val="00035D04"/>
    <w:rsid w:val="00046F5C"/>
    <w:rsid w:val="00047F1D"/>
    <w:rsid w:val="00052454"/>
    <w:rsid w:val="00061895"/>
    <w:rsid w:val="00063743"/>
    <w:rsid w:val="00065338"/>
    <w:rsid w:val="00070BA7"/>
    <w:rsid w:val="00076115"/>
    <w:rsid w:val="00076B59"/>
    <w:rsid w:val="00085186"/>
    <w:rsid w:val="000856D6"/>
    <w:rsid w:val="000937C2"/>
    <w:rsid w:val="0009482B"/>
    <w:rsid w:val="000A0E3E"/>
    <w:rsid w:val="000A799B"/>
    <w:rsid w:val="000B1165"/>
    <w:rsid w:val="000B17BE"/>
    <w:rsid w:val="000B2076"/>
    <w:rsid w:val="000C189C"/>
    <w:rsid w:val="000C2225"/>
    <w:rsid w:val="000C4154"/>
    <w:rsid w:val="000C60A4"/>
    <w:rsid w:val="000C79D3"/>
    <w:rsid w:val="000D609D"/>
    <w:rsid w:val="000D734B"/>
    <w:rsid w:val="000D79E5"/>
    <w:rsid w:val="000E0D8E"/>
    <w:rsid w:val="000E4D54"/>
    <w:rsid w:val="000E6AC0"/>
    <w:rsid w:val="000F7DF1"/>
    <w:rsid w:val="00100C00"/>
    <w:rsid w:val="00101C00"/>
    <w:rsid w:val="00110AB5"/>
    <w:rsid w:val="00111C0F"/>
    <w:rsid w:val="00114A92"/>
    <w:rsid w:val="00115CFC"/>
    <w:rsid w:val="00117754"/>
    <w:rsid w:val="001201A4"/>
    <w:rsid w:val="00121206"/>
    <w:rsid w:val="001250A8"/>
    <w:rsid w:val="00125DC6"/>
    <w:rsid w:val="00125FB8"/>
    <w:rsid w:val="001311FC"/>
    <w:rsid w:val="00132E23"/>
    <w:rsid w:val="00140F4D"/>
    <w:rsid w:val="00143F41"/>
    <w:rsid w:val="00180A2F"/>
    <w:rsid w:val="001822E3"/>
    <w:rsid w:val="00182814"/>
    <w:rsid w:val="00183382"/>
    <w:rsid w:val="0018752C"/>
    <w:rsid w:val="001944C4"/>
    <w:rsid w:val="00195E0F"/>
    <w:rsid w:val="00196F20"/>
    <w:rsid w:val="001A77D5"/>
    <w:rsid w:val="001B1787"/>
    <w:rsid w:val="001B4527"/>
    <w:rsid w:val="001C4737"/>
    <w:rsid w:val="001C578D"/>
    <w:rsid w:val="001D0A44"/>
    <w:rsid w:val="001D6655"/>
    <w:rsid w:val="001D6696"/>
    <w:rsid w:val="001E0217"/>
    <w:rsid w:val="001E2DDC"/>
    <w:rsid w:val="001E5061"/>
    <w:rsid w:val="001E5783"/>
    <w:rsid w:val="001F0612"/>
    <w:rsid w:val="001F19E4"/>
    <w:rsid w:val="001F1C19"/>
    <w:rsid w:val="001F2578"/>
    <w:rsid w:val="001F2A17"/>
    <w:rsid w:val="001F5ECC"/>
    <w:rsid w:val="001F74CB"/>
    <w:rsid w:val="00204422"/>
    <w:rsid w:val="0020771B"/>
    <w:rsid w:val="00207903"/>
    <w:rsid w:val="00207BB8"/>
    <w:rsid w:val="0021159A"/>
    <w:rsid w:val="00213294"/>
    <w:rsid w:val="00216214"/>
    <w:rsid w:val="00221664"/>
    <w:rsid w:val="00225DA3"/>
    <w:rsid w:val="00231D2C"/>
    <w:rsid w:val="0023382F"/>
    <w:rsid w:val="00241CC6"/>
    <w:rsid w:val="00245F3B"/>
    <w:rsid w:val="00246E73"/>
    <w:rsid w:val="0026125E"/>
    <w:rsid w:val="0026206F"/>
    <w:rsid w:val="00266BEC"/>
    <w:rsid w:val="0027074F"/>
    <w:rsid w:val="00272589"/>
    <w:rsid w:val="0027484E"/>
    <w:rsid w:val="00277653"/>
    <w:rsid w:val="00277FA7"/>
    <w:rsid w:val="0028510A"/>
    <w:rsid w:val="00286748"/>
    <w:rsid w:val="00291A85"/>
    <w:rsid w:val="00292651"/>
    <w:rsid w:val="002A1A1F"/>
    <w:rsid w:val="002A6052"/>
    <w:rsid w:val="002A615C"/>
    <w:rsid w:val="002A6E69"/>
    <w:rsid w:val="002B1E8E"/>
    <w:rsid w:val="002B553E"/>
    <w:rsid w:val="002C55BF"/>
    <w:rsid w:val="002D0EAA"/>
    <w:rsid w:val="002E2673"/>
    <w:rsid w:val="002E720F"/>
    <w:rsid w:val="002F0F47"/>
    <w:rsid w:val="002F3670"/>
    <w:rsid w:val="002F368F"/>
    <w:rsid w:val="00300F1A"/>
    <w:rsid w:val="00301B89"/>
    <w:rsid w:val="00302FC0"/>
    <w:rsid w:val="003151D8"/>
    <w:rsid w:val="00316137"/>
    <w:rsid w:val="003212AD"/>
    <w:rsid w:val="003317CC"/>
    <w:rsid w:val="003318DD"/>
    <w:rsid w:val="00331C54"/>
    <w:rsid w:val="003368E5"/>
    <w:rsid w:val="00337BDB"/>
    <w:rsid w:val="00340DE1"/>
    <w:rsid w:val="0034512B"/>
    <w:rsid w:val="003461E7"/>
    <w:rsid w:val="00350E30"/>
    <w:rsid w:val="0035593D"/>
    <w:rsid w:val="00357C1E"/>
    <w:rsid w:val="00370FA9"/>
    <w:rsid w:val="003801CD"/>
    <w:rsid w:val="0038151B"/>
    <w:rsid w:val="00393461"/>
    <w:rsid w:val="00394CA5"/>
    <w:rsid w:val="003952FF"/>
    <w:rsid w:val="00395896"/>
    <w:rsid w:val="003B4207"/>
    <w:rsid w:val="003B4C89"/>
    <w:rsid w:val="003C0A62"/>
    <w:rsid w:val="003C27B2"/>
    <w:rsid w:val="003C5CAC"/>
    <w:rsid w:val="003C7840"/>
    <w:rsid w:val="003D017C"/>
    <w:rsid w:val="003D4B02"/>
    <w:rsid w:val="003D792B"/>
    <w:rsid w:val="003E00B8"/>
    <w:rsid w:val="003E17B9"/>
    <w:rsid w:val="003E2F48"/>
    <w:rsid w:val="003E7474"/>
    <w:rsid w:val="003F19A2"/>
    <w:rsid w:val="003F2511"/>
    <w:rsid w:val="003F4582"/>
    <w:rsid w:val="00402F58"/>
    <w:rsid w:val="004157DD"/>
    <w:rsid w:val="004158E8"/>
    <w:rsid w:val="00420D03"/>
    <w:rsid w:val="00423DC1"/>
    <w:rsid w:val="004275EA"/>
    <w:rsid w:val="00430314"/>
    <w:rsid w:val="004304F1"/>
    <w:rsid w:val="00434908"/>
    <w:rsid w:val="00434C61"/>
    <w:rsid w:val="00436E39"/>
    <w:rsid w:val="00440601"/>
    <w:rsid w:val="00440EFD"/>
    <w:rsid w:val="004428CE"/>
    <w:rsid w:val="00443230"/>
    <w:rsid w:val="004506C2"/>
    <w:rsid w:val="004619A5"/>
    <w:rsid w:val="00461E6D"/>
    <w:rsid w:val="00474FFE"/>
    <w:rsid w:val="004835BF"/>
    <w:rsid w:val="00492F08"/>
    <w:rsid w:val="00494A37"/>
    <w:rsid w:val="004A4012"/>
    <w:rsid w:val="004A6527"/>
    <w:rsid w:val="004B249C"/>
    <w:rsid w:val="004B31BE"/>
    <w:rsid w:val="004B44E8"/>
    <w:rsid w:val="004C2030"/>
    <w:rsid w:val="004C2FF5"/>
    <w:rsid w:val="004C5ADD"/>
    <w:rsid w:val="004C785C"/>
    <w:rsid w:val="004D0DF5"/>
    <w:rsid w:val="004E1AE1"/>
    <w:rsid w:val="004E38A7"/>
    <w:rsid w:val="004E5A9F"/>
    <w:rsid w:val="004F10B3"/>
    <w:rsid w:val="004F31F2"/>
    <w:rsid w:val="004F65AC"/>
    <w:rsid w:val="00513F32"/>
    <w:rsid w:val="005201D9"/>
    <w:rsid w:val="0052132F"/>
    <w:rsid w:val="005213CB"/>
    <w:rsid w:val="00522BE2"/>
    <w:rsid w:val="0052593E"/>
    <w:rsid w:val="005318D7"/>
    <w:rsid w:val="005345AD"/>
    <w:rsid w:val="005405E1"/>
    <w:rsid w:val="005512E8"/>
    <w:rsid w:val="005521F9"/>
    <w:rsid w:val="0055568E"/>
    <w:rsid w:val="00557379"/>
    <w:rsid w:val="00563833"/>
    <w:rsid w:val="00564A73"/>
    <w:rsid w:val="005661AD"/>
    <w:rsid w:val="00577368"/>
    <w:rsid w:val="00580291"/>
    <w:rsid w:val="00583513"/>
    <w:rsid w:val="0058497F"/>
    <w:rsid w:val="00587B2C"/>
    <w:rsid w:val="00595250"/>
    <w:rsid w:val="005959C9"/>
    <w:rsid w:val="005B5657"/>
    <w:rsid w:val="005C10F0"/>
    <w:rsid w:val="005C120A"/>
    <w:rsid w:val="005C286E"/>
    <w:rsid w:val="005C42AA"/>
    <w:rsid w:val="005C6D51"/>
    <w:rsid w:val="005D1E02"/>
    <w:rsid w:val="005D44DD"/>
    <w:rsid w:val="005D774C"/>
    <w:rsid w:val="005E5722"/>
    <w:rsid w:val="005F0FEA"/>
    <w:rsid w:val="005F194B"/>
    <w:rsid w:val="005F550E"/>
    <w:rsid w:val="006019EC"/>
    <w:rsid w:val="006044E4"/>
    <w:rsid w:val="006154EE"/>
    <w:rsid w:val="0061646E"/>
    <w:rsid w:val="0062188A"/>
    <w:rsid w:val="006260F9"/>
    <w:rsid w:val="0063032A"/>
    <w:rsid w:val="006315EA"/>
    <w:rsid w:val="00633673"/>
    <w:rsid w:val="00634422"/>
    <w:rsid w:val="006355CC"/>
    <w:rsid w:val="00644A79"/>
    <w:rsid w:val="006475DA"/>
    <w:rsid w:val="006561FC"/>
    <w:rsid w:val="00657436"/>
    <w:rsid w:val="006637D6"/>
    <w:rsid w:val="006648B4"/>
    <w:rsid w:val="006649AE"/>
    <w:rsid w:val="00665AF1"/>
    <w:rsid w:val="0066745D"/>
    <w:rsid w:val="00672ACA"/>
    <w:rsid w:val="00674170"/>
    <w:rsid w:val="0067587E"/>
    <w:rsid w:val="00680A48"/>
    <w:rsid w:val="00681878"/>
    <w:rsid w:val="00682AAA"/>
    <w:rsid w:val="006835CB"/>
    <w:rsid w:val="0068731B"/>
    <w:rsid w:val="006875D6"/>
    <w:rsid w:val="006921A2"/>
    <w:rsid w:val="00695EAD"/>
    <w:rsid w:val="006A048A"/>
    <w:rsid w:val="006A4B4A"/>
    <w:rsid w:val="006A6983"/>
    <w:rsid w:val="006B3E25"/>
    <w:rsid w:val="006C2461"/>
    <w:rsid w:val="006C361E"/>
    <w:rsid w:val="006C54FE"/>
    <w:rsid w:val="006C662F"/>
    <w:rsid w:val="006D2404"/>
    <w:rsid w:val="007007FD"/>
    <w:rsid w:val="00710082"/>
    <w:rsid w:val="00711C36"/>
    <w:rsid w:val="00714E3F"/>
    <w:rsid w:val="0071500F"/>
    <w:rsid w:val="00721FC3"/>
    <w:rsid w:val="007309E1"/>
    <w:rsid w:val="007325E8"/>
    <w:rsid w:val="0073750E"/>
    <w:rsid w:val="007452EF"/>
    <w:rsid w:val="00751F8D"/>
    <w:rsid w:val="00755FDC"/>
    <w:rsid w:val="007627F5"/>
    <w:rsid w:val="00762AFB"/>
    <w:rsid w:val="007630A4"/>
    <w:rsid w:val="0076529D"/>
    <w:rsid w:val="00767AEE"/>
    <w:rsid w:val="0077282B"/>
    <w:rsid w:val="00784B55"/>
    <w:rsid w:val="0079205D"/>
    <w:rsid w:val="007923E9"/>
    <w:rsid w:val="007A5605"/>
    <w:rsid w:val="007A5F9A"/>
    <w:rsid w:val="007B029F"/>
    <w:rsid w:val="007B253A"/>
    <w:rsid w:val="007C32EA"/>
    <w:rsid w:val="007D1703"/>
    <w:rsid w:val="007D20B3"/>
    <w:rsid w:val="007D2CB9"/>
    <w:rsid w:val="007D3309"/>
    <w:rsid w:val="007D397D"/>
    <w:rsid w:val="007D5A86"/>
    <w:rsid w:val="007E045C"/>
    <w:rsid w:val="007E58E2"/>
    <w:rsid w:val="007E5C1B"/>
    <w:rsid w:val="007E5E96"/>
    <w:rsid w:val="007E653A"/>
    <w:rsid w:val="007F6722"/>
    <w:rsid w:val="00804C83"/>
    <w:rsid w:val="00807C38"/>
    <w:rsid w:val="00813280"/>
    <w:rsid w:val="00813A65"/>
    <w:rsid w:val="008201AA"/>
    <w:rsid w:val="00820F30"/>
    <w:rsid w:val="00821A7B"/>
    <w:rsid w:val="00823421"/>
    <w:rsid w:val="00823F22"/>
    <w:rsid w:val="0082467C"/>
    <w:rsid w:val="008302AF"/>
    <w:rsid w:val="00830F49"/>
    <w:rsid w:val="00831588"/>
    <w:rsid w:val="00832FBA"/>
    <w:rsid w:val="00842FC3"/>
    <w:rsid w:val="00843C55"/>
    <w:rsid w:val="00852C26"/>
    <w:rsid w:val="0085441A"/>
    <w:rsid w:val="00854F5C"/>
    <w:rsid w:val="00856B50"/>
    <w:rsid w:val="008607BB"/>
    <w:rsid w:val="00862B8C"/>
    <w:rsid w:val="00872D12"/>
    <w:rsid w:val="008743EB"/>
    <w:rsid w:val="00874D8E"/>
    <w:rsid w:val="00881F8D"/>
    <w:rsid w:val="00882D43"/>
    <w:rsid w:val="00892697"/>
    <w:rsid w:val="00893BAD"/>
    <w:rsid w:val="00894A75"/>
    <w:rsid w:val="0089518D"/>
    <w:rsid w:val="008B06FE"/>
    <w:rsid w:val="008B0CB8"/>
    <w:rsid w:val="008B1C8D"/>
    <w:rsid w:val="008B29A0"/>
    <w:rsid w:val="008B53DC"/>
    <w:rsid w:val="008C3333"/>
    <w:rsid w:val="008C6771"/>
    <w:rsid w:val="008D1795"/>
    <w:rsid w:val="008D42BD"/>
    <w:rsid w:val="008D4B4A"/>
    <w:rsid w:val="008D58E4"/>
    <w:rsid w:val="008E1E82"/>
    <w:rsid w:val="008E3802"/>
    <w:rsid w:val="008F1F0A"/>
    <w:rsid w:val="008F5315"/>
    <w:rsid w:val="008F5BCD"/>
    <w:rsid w:val="008F7822"/>
    <w:rsid w:val="009039C3"/>
    <w:rsid w:val="009043A9"/>
    <w:rsid w:val="0090483E"/>
    <w:rsid w:val="00906467"/>
    <w:rsid w:val="0091082A"/>
    <w:rsid w:val="00910CF8"/>
    <w:rsid w:val="00910E38"/>
    <w:rsid w:val="00910F34"/>
    <w:rsid w:val="00913395"/>
    <w:rsid w:val="00917FDA"/>
    <w:rsid w:val="0092424F"/>
    <w:rsid w:val="00926C7C"/>
    <w:rsid w:val="0093364B"/>
    <w:rsid w:val="00935181"/>
    <w:rsid w:val="0093582C"/>
    <w:rsid w:val="0093669F"/>
    <w:rsid w:val="00940416"/>
    <w:rsid w:val="00941DE7"/>
    <w:rsid w:val="00946870"/>
    <w:rsid w:val="009517D9"/>
    <w:rsid w:val="00961B50"/>
    <w:rsid w:val="00962367"/>
    <w:rsid w:val="009673C4"/>
    <w:rsid w:val="00972497"/>
    <w:rsid w:val="00972EFD"/>
    <w:rsid w:val="00975E3B"/>
    <w:rsid w:val="00976768"/>
    <w:rsid w:val="00976B21"/>
    <w:rsid w:val="00977358"/>
    <w:rsid w:val="00991E6D"/>
    <w:rsid w:val="00996319"/>
    <w:rsid w:val="0099656E"/>
    <w:rsid w:val="009A1926"/>
    <w:rsid w:val="009A23AB"/>
    <w:rsid w:val="009A4173"/>
    <w:rsid w:val="009B4C6D"/>
    <w:rsid w:val="009C03E9"/>
    <w:rsid w:val="009C0F47"/>
    <w:rsid w:val="009D3E95"/>
    <w:rsid w:val="009D5200"/>
    <w:rsid w:val="009D7766"/>
    <w:rsid w:val="009E03A8"/>
    <w:rsid w:val="009E088B"/>
    <w:rsid w:val="009E0E35"/>
    <w:rsid w:val="009E45A9"/>
    <w:rsid w:val="009E72E3"/>
    <w:rsid w:val="009F156F"/>
    <w:rsid w:val="009F19C2"/>
    <w:rsid w:val="009F4137"/>
    <w:rsid w:val="00A0597C"/>
    <w:rsid w:val="00A22E39"/>
    <w:rsid w:val="00A26D4C"/>
    <w:rsid w:val="00A2753F"/>
    <w:rsid w:val="00A3729E"/>
    <w:rsid w:val="00A43A69"/>
    <w:rsid w:val="00A44BD4"/>
    <w:rsid w:val="00A46614"/>
    <w:rsid w:val="00A51D2B"/>
    <w:rsid w:val="00A54B30"/>
    <w:rsid w:val="00A70061"/>
    <w:rsid w:val="00A74DEB"/>
    <w:rsid w:val="00A77F09"/>
    <w:rsid w:val="00A81332"/>
    <w:rsid w:val="00A8289D"/>
    <w:rsid w:val="00A83E36"/>
    <w:rsid w:val="00A86720"/>
    <w:rsid w:val="00A92076"/>
    <w:rsid w:val="00A94DBA"/>
    <w:rsid w:val="00A96596"/>
    <w:rsid w:val="00A97954"/>
    <w:rsid w:val="00AA095A"/>
    <w:rsid w:val="00AA3B7B"/>
    <w:rsid w:val="00AA7E4B"/>
    <w:rsid w:val="00AB290C"/>
    <w:rsid w:val="00AB5295"/>
    <w:rsid w:val="00AB6067"/>
    <w:rsid w:val="00AC38A5"/>
    <w:rsid w:val="00AC58C2"/>
    <w:rsid w:val="00AD1B2B"/>
    <w:rsid w:val="00AD2141"/>
    <w:rsid w:val="00AD381B"/>
    <w:rsid w:val="00AD46FC"/>
    <w:rsid w:val="00AE7A07"/>
    <w:rsid w:val="00AF1C80"/>
    <w:rsid w:val="00AF7224"/>
    <w:rsid w:val="00B0451E"/>
    <w:rsid w:val="00B05B93"/>
    <w:rsid w:val="00B0677A"/>
    <w:rsid w:val="00B07DF2"/>
    <w:rsid w:val="00B25C78"/>
    <w:rsid w:val="00B31154"/>
    <w:rsid w:val="00B32C10"/>
    <w:rsid w:val="00B32C8B"/>
    <w:rsid w:val="00B375EF"/>
    <w:rsid w:val="00B40503"/>
    <w:rsid w:val="00B42931"/>
    <w:rsid w:val="00B4347F"/>
    <w:rsid w:val="00B52F4B"/>
    <w:rsid w:val="00B55FE4"/>
    <w:rsid w:val="00B57051"/>
    <w:rsid w:val="00B60677"/>
    <w:rsid w:val="00B62ACE"/>
    <w:rsid w:val="00B664E9"/>
    <w:rsid w:val="00B70F89"/>
    <w:rsid w:val="00B77D74"/>
    <w:rsid w:val="00B813D9"/>
    <w:rsid w:val="00B81F18"/>
    <w:rsid w:val="00B90DC5"/>
    <w:rsid w:val="00BA298A"/>
    <w:rsid w:val="00BA55BF"/>
    <w:rsid w:val="00BA5C18"/>
    <w:rsid w:val="00BB2D45"/>
    <w:rsid w:val="00BB4D03"/>
    <w:rsid w:val="00BC7FB3"/>
    <w:rsid w:val="00BD7E62"/>
    <w:rsid w:val="00BE3DEF"/>
    <w:rsid w:val="00BE6048"/>
    <w:rsid w:val="00BF0900"/>
    <w:rsid w:val="00C032F9"/>
    <w:rsid w:val="00C105B4"/>
    <w:rsid w:val="00C16730"/>
    <w:rsid w:val="00C17618"/>
    <w:rsid w:val="00C17821"/>
    <w:rsid w:val="00C22DE6"/>
    <w:rsid w:val="00C230AB"/>
    <w:rsid w:val="00C3287E"/>
    <w:rsid w:val="00C33A5D"/>
    <w:rsid w:val="00C374FC"/>
    <w:rsid w:val="00C40422"/>
    <w:rsid w:val="00C51131"/>
    <w:rsid w:val="00C52AC8"/>
    <w:rsid w:val="00C57E17"/>
    <w:rsid w:val="00C60FC2"/>
    <w:rsid w:val="00C6139F"/>
    <w:rsid w:val="00C674BC"/>
    <w:rsid w:val="00C71D12"/>
    <w:rsid w:val="00C743D3"/>
    <w:rsid w:val="00C75FE3"/>
    <w:rsid w:val="00C93B61"/>
    <w:rsid w:val="00C93DE7"/>
    <w:rsid w:val="00C957E5"/>
    <w:rsid w:val="00CA2226"/>
    <w:rsid w:val="00CA385C"/>
    <w:rsid w:val="00CA4F39"/>
    <w:rsid w:val="00CA60D1"/>
    <w:rsid w:val="00CA6351"/>
    <w:rsid w:val="00CA75B4"/>
    <w:rsid w:val="00CB3149"/>
    <w:rsid w:val="00CC77B5"/>
    <w:rsid w:val="00CD4AF9"/>
    <w:rsid w:val="00CD7148"/>
    <w:rsid w:val="00CD7D7A"/>
    <w:rsid w:val="00CE2AD1"/>
    <w:rsid w:val="00CF2F41"/>
    <w:rsid w:val="00CF7F49"/>
    <w:rsid w:val="00D123AD"/>
    <w:rsid w:val="00D141B8"/>
    <w:rsid w:val="00D142DA"/>
    <w:rsid w:val="00D252FA"/>
    <w:rsid w:val="00D256CF"/>
    <w:rsid w:val="00D313C5"/>
    <w:rsid w:val="00D37954"/>
    <w:rsid w:val="00D41FFA"/>
    <w:rsid w:val="00D44673"/>
    <w:rsid w:val="00D51D32"/>
    <w:rsid w:val="00D55137"/>
    <w:rsid w:val="00D60CD0"/>
    <w:rsid w:val="00D60E16"/>
    <w:rsid w:val="00D63274"/>
    <w:rsid w:val="00D639DB"/>
    <w:rsid w:val="00D64378"/>
    <w:rsid w:val="00D81114"/>
    <w:rsid w:val="00D85218"/>
    <w:rsid w:val="00D90198"/>
    <w:rsid w:val="00D91D5A"/>
    <w:rsid w:val="00D934DA"/>
    <w:rsid w:val="00D93E62"/>
    <w:rsid w:val="00DA19B4"/>
    <w:rsid w:val="00DA24E6"/>
    <w:rsid w:val="00DA3A48"/>
    <w:rsid w:val="00DB0619"/>
    <w:rsid w:val="00DB12A8"/>
    <w:rsid w:val="00DB13E1"/>
    <w:rsid w:val="00DB1728"/>
    <w:rsid w:val="00DB517B"/>
    <w:rsid w:val="00DC014C"/>
    <w:rsid w:val="00DC1F84"/>
    <w:rsid w:val="00DC35DE"/>
    <w:rsid w:val="00DC49D2"/>
    <w:rsid w:val="00DC696D"/>
    <w:rsid w:val="00DD5740"/>
    <w:rsid w:val="00DE0BF2"/>
    <w:rsid w:val="00DE2E22"/>
    <w:rsid w:val="00DE654A"/>
    <w:rsid w:val="00DF5360"/>
    <w:rsid w:val="00E01E8E"/>
    <w:rsid w:val="00E02968"/>
    <w:rsid w:val="00E1018E"/>
    <w:rsid w:val="00E12844"/>
    <w:rsid w:val="00E13AC8"/>
    <w:rsid w:val="00E14B79"/>
    <w:rsid w:val="00E161CA"/>
    <w:rsid w:val="00E1685F"/>
    <w:rsid w:val="00E20FCB"/>
    <w:rsid w:val="00E25ECC"/>
    <w:rsid w:val="00E32F91"/>
    <w:rsid w:val="00E53EDE"/>
    <w:rsid w:val="00E55DFD"/>
    <w:rsid w:val="00E608AF"/>
    <w:rsid w:val="00E61EC6"/>
    <w:rsid w:val="00E65233"/>
    <w:rsid w:val="00E66198"/>
    <w:rsid w:val="00E71F43"/>
    <w:rsid w:val="00E73681"/>
    <w:rsid w:val="00E7594A"/>
    <w:rsid w:val="00E75F84"/>
    <w:rsid w:val="00E7654B"/>
    <w:rsid w:val="00E774F6"/>
    <w:rsid w:val="00E77546"/>
    <w:rsid w:val="00E81B83"/>
    <w:rsid w:val="00E865E0"/>
    <w:rsid w:val="00E919BA"/>
    <w:rsid w:val="00E9222F"/>
    <w:rsid w:val="00E938E3"/>
    <w:rsid w:val="00E95D41"/>
    <w:rsid w:val="00EA12F5"/>
    <w:rsid w:val="00EA4EBC"/>
    <w:rsid w:val="00EB350B"/>
    <w:rsid w:val="00EB4830"/>
    <w:rsid w:val="00EB713A"/>
    <w:rsid w:val="00EC0B21"/>
    <w:rsid w:val="00ED2A30"/>
    <w:rsid w:val="00ED36BF"/>
    <w:rsid w:val="00EE572D"/>
    <w:rsid w:val="00EF27A6"/>
    <w:rsid w:val="00F04910"/>
    <w:rsid w:val="00F1330D"/>
    <w:rsid w:val="00F147DC"/>
    <w:rsid w:val="00F14B01"/>
    <w:rsid w:val="00F173B5"/>
    <w:rsid w:val="00F31348"/>
    <w:rsid w:val="00F31502"/>
    <w:rsid w:val="00F32291"/>
    <w:rsid w:val="00F36CD2"/>
    <w:rsid w:val="00F37751"/>
    <w:rsid w:val="00F45DD7"/>
    <w:rsid w:val="00F46BBF"/>
    <w:rsid w:val="00F52187"/>
    <w:rsid w:val="00F53476"/>
    <w:rsid w:val="00F57057"/>
    <w:rsid w:val="00F57183"/>
    <w:rsid w:val="00F7143D"/>
    <w:rsid w:val="00F72892"/>
    <w:rsid w:val="00F7751F"/>
    <w:rsid w:val="00F80A93"/>
    <w:rsid w:val="00F95790"/>
    <w:rsid w:val="00F9769A"/>
    <w:rsid w:val="00F97FBC"/>
    <w:rsid w:val="00FA157B"/>
    <w:rsid w:val="00FA26A5"/>
    <w:rsid w:val="00FA31A6"/>
    <w:rsid w:val="00FA4759"/>
    <w:rsid w:val="00FA4E5D"/>
    <w:rsid w:val="00FA5094"/>
    <w:rsid w:val="00FA7CD7"/>
    <w:rsid w:val="00FB529C"/>
    <w:rsid w:val="00FC567F"/>
    <w:rsid w:val="00FC6EAF"/>
    <w:rsid w:val="00FD184F"/>
    <w:rsid w:val="00FD4951"/>
    <w:rsid w:val="00FE095C"/>
    <w:rsid w:val="00FE60C4"/>
    <w:rsid w:val="00FF251D"/>
    <w:rsid w:val="00FF5A7B"/>
    <w:rsid w:val="00FF7BFE"/>
    <w:rsid w:val="496CD689"/>
    <w:rsid w:val="4DBBD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3BD3F172-A983-4D73-8847-74591F909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7D6"/>
    <w:pPr>
      <w:spacing w:after="120"/>
    </w:pPr>
    <w:rPr>
      <w:rFonts w:cs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2DDC"/>
    <w:pPr>
      <w:pBdr>
        <w:bottom w:val="single" w:sz="18" w:space="1" w:color="007DA3"/>
      </w:pBdr>
      <w:spacing w:before="240" w:after="80"/>
      <w:outlineLvl w:val="0"/>
    </w:pPr>
    <w:rPr>
      <w:b/>
      <w:bCs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D123AD"/>
    <w:pPr>
      <w:keepNext/>
      <w:keepLines/>
      <w:numPr>
        <w:numId w:val="41"/>
      </w:numPr>
      <w:spacing w:before="60" w:after="0"/>
      <w:ind w:left="360"/>
      <w:outlineLvl w:val="1"/>
    </w:pPr>
    <w:rPr>
      <w:b/>
      <w:bCs/>
      <w:color w:val="007DA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paragraph" w:styleId="ListParagraph">
    <w:name w:val="List Paragraph"/>
    <w:basedOn w:val="Normal"/>
    <w:uiPriority w:val="34"/>
    <w:qFormat/>
    <w:rsid w:val="00440EFD"/>
    <w:pPr>
      <w:numPr>
        <w:numId w:val="27"/>
      </w:numPr>
      <w:spacing w:after="60"/>
      <w:ind w:left="360"/>
    </w:pPr>
  </w:style>
  <w:style w:type="table" w:styleId="TableGrid">
    <w:name w:val="Table Grid"/>
    <w:basedOn w:val="TableNormal"/>
    <w:uiPriority w:val="39"/>
    <w:rsid w:val="0006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E5E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E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7E5E9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E5E9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customStyle="1" w:styleId="FooterText">
    <w:name w:val="Footer Text"/>
    <w:link w:val="FooterTextChar"/>
    <w:qFormat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FooterTextChar">
    <w:name w:val="Footer Text Char"/>
    <w:basedOn w:val="DefaultParagraphFont"/>
    <w:link w:val="FooterText"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1E2DDC"/>
    <w:rPr>
      <w:rFonts w:cstheme="minorHAns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23AD"/>
    <w:rPr>
      <w:rFonts w:cstheme="minorHAnsi"/>
      <w:b/>
      <w:bCs/>
      <w:color w:val="007DA3"/>
      <w:sz w:val="20"/>
      <w:szCs w:val="20"/>
    </w:rPr>
  </w:style>
  <w:style w:type="paragraph" w:styleId="Title">
    <w:name w:val="Title"/>
    <w:basedOn w:val="Header"/>
    <w:next w:val="Normal"/>
    <w:link w:val="TitleChar"/>
    <w:uiPriority w:val="10"/>
    <w:qFormat/>
    <w:rsid w:val="00F97FBC"/>
    <w:pPr>
      <w:tabs>
        <w:tab w:val="clear" w:pos="4680"/>
        <w:tab w:val="clear" w:pos="9360"/>
        <w:tab w:val="center" w:pos="5400"/>
        <w:tab w:val="left" w:pos="8100"/>
        <w:tab w:val="right" w:pos="10800"/>
      </w:tabs>
      <w:spacing w:before="120"/>
      <w:ind w:left="1440"/>
    </w:pPr>
    <w:rPr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7FBC"/>
    <w:rPr>
      <w:rFonts w:cstheme="minorHAnsi"/>
      <w:b/>
      <w:bCs/>
      <w:sz w:val="56"/>
      <w:szCs w:val="56"/>
    </w:rPr>
  </w:style>
  <w:style w:type="paragraph" w:styleId="Subtitle">
    <w:name w:val="Subtitle"/>
    <w:basedOn w:val="Header"/>
    <w:next w:val="Normal"/>
    <w:link w:val="SubtitleChar"/>
    <w:uiPriority w:val="11"/>
    <w:qFormat/>
    <w:rsid w:val="0018752C"/>
    <w:pPr>
      <w:tabs>
        <w:tab w:val="clear" w:pos="4680"/>
        <w:tab w:val="clear" w:pos="9360"/>
        <w:tab w:val="center" w:pos="5400"/>
        <w:tab w:val="right" w:pos="10800"/>
      </w:tabs>
      <w:spacing w:before="24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752C"/>
    <w:rPr>
      <w:rFonts w:cstheme="minorHAnsi"/>
      <w:b/>
      <w:bCs/>
      <w:sz w:val="28"/>
      <w:szCs w:val="28"/>
    </w:rPr>
  </w:style>
  <w:style w:type="paragraph" w:customStyle="1" w:styleId="RefList">
    <w:name w:val="Ref List"/>
    <w:basedOn w:val="EndnoteText"/>
    <w:link w:val="RefListChar"/>
    <w:qFormat/>
    <w:rsid w:val="00402F58"/>
    <w:pPr>
      <w:numPr>
        <w:numId w:val="25"/>
      </w:numPr>
      <w:ind w:left="360"/>
    </w:pPr>
    <w:rPr>
      <w:sz w:val="24"/>
      <w:szCs w:val="24"/>
    </w:rPr>
  </w:style>
  <w:style w:type="character" w:customStyle="1" w:styleId="RefListChar">
    <w:name w:val="Ref List Char"/>
    <w:basedOn w:val="EndnoteTextChar"/>
    <w:link w:val="RefList"/>
    <w:rsid w:val="00402F58"/>
    <w:rPr>
      <w:rFonts w:cs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608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08AF"/>
    <w:pPr>
      <w:spacing w:after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08AF"/>
    <w:rPr>
      <w:rFonts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54B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4B30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348"/>
    <w:pPr>
      <w:spacing w:after="12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348"/>
    <w:rPr>
      <w:rFonts w:cstheme="minorHAns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801CD"/>
    <w:rPr>
      <w:rFonts w:cstheme="min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DC35DE"/>
    <w:rPr>
      <w:color w:val="954F72" w:themeColor="followedHyperlink"/>
      <w:u w:val="single"/>
    </w:rPr>
  </w:style>
  <w:style w:type="character" w:customStyle="1" w:styleId="cf01">
    <w:name w:val="cf01"/>
    <w:basedOn w:val="DefaultParagraphFont"/>
    <w:rsid w:val="009E03A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33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1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hrq.gov/hai/tools/mrsa-prevention/toolkit/key-strategies.html" TargetMode="External"/><Relationship Id="rId18" Type="http://schemas.openxmlformats.org/officeDocument/2006/relationships/hyperlink" Target="https://www.cdc.gov/antimicrobial-resistance/media/pdfs/2019-ar-threats-report-508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hrq.gov/hai/tools/mrsa-prevention/toolkit/importance.htm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SharedWithUsers xmlns="5d14f105-b512-4c58-b648-3bdda2cf581d">
      <UserInfo>
        <DisplayName>Caylin Andrews</DisplayName>
        <AccountId>120</AccountId>
        <AccountType/>
      </UserInfo>
      <UserInfo>
        <DisplayName>Samuel Kim</DisplayName>
        <AccountId>12</AccountId>
        <AccountType/>
      </UserInfo>
      <UserInfo>
        <DisplayName>Sean Berenholtz</DisplayName>
        <AccountId>58</AccountId>
        <AccountType/>
      </UserInfo>
      <UserInfo>
        <DisplayName>Sara Karaba</DisplayName>
        <AccountId>70</AccountId>
        <AccountType/>
      </UserInfo>
      <UserInfo>
        <DisplayName>Kathleen Speck</DisplayName>
        <AccountId>11</AccountId>
        <AccountType/>
      </UserInfo>
    </SharedWithUsers>
    <ResidentBathingPreferencesandSkinassessments xmlns="931aec66-2863-455c-9bb0-8c99df0ac3fd" xsi:nil="true"/>
  </documentManagement>
</p:properties>
</file>

<file path=customXml/itemProps1.xml><?xml version="1.0" encoding="utf-8"?>
<ds:datastoreItem xmlns:ds="http://schemas.openxmlformats.org/officeDocument/2006/customXml" ds:itemID="{17D14BB1-7358-4BA1-BCC1-62288EA03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60F6C5-9DAA-4F78-8A23-78B1B9F09D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14</cp:revision>
  <dcterms:created xsi:type="dcterms:W3CDTF">2024-10-01T01:35:00Z</dcterms:created>
  <dcterms:modified xsi:type="dcterms:W3CDTF">2024-10-17T06:18:00Z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MediaServiceImageTags">
    <vt:lpwstr/>
  </property>
</Properties>
</file>