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537E3" w14:textId="172853B4" w:rsidR="006549A4" w:rsidRDefault="0069215A" w:rsidP="000F7056">
      <w:pPr>
        <w:pStyle w:val="Title"/>
        <w:spacing w:before="240" w:after="120"/>
      </w:pPr>
      <w:r w:rsidRPr="005207F2">
        <w:t>Decolonization</w:t>
      </w:r>
      <w:r w:rsidR="00684F56">
        <w:t xml:space="preserve"> </w:t>
      </w:r>
      <w:r w:rsidRPr="005207F2">
        <w:t>Decision-</w:t>
      </w:r>
      <w:r w:rsidRPr="00116E08">
        <w:t>Making</w:t>
      </w:r>
      <w:r w:rsidRPr="005207F2">
        <w:t xml:space="preserve"> and Readiness for </w:t>
      </w:r>
      <w:r w:rsidRPr="00295813">
        <w:t>Implementation</w:t>
      </w:r>
    </w:p>
    <w:p w14:paraId="72B480B8" w14:textId="4B7113DA" w:rsidR="00015118" w:rsidRPr="00C3053E" w:rsidRDefault="00462782" w:rsidP="000F7056">
      <w:pPr>
        <w:spacing w:after="120"/>
        <w:jc w:val="center"/>
        <w:rPr>
          <w:sz w:val="32"/>
          <w:szCs w:val="32"/>
        </w:rPr>
      </w:pPr>
      <w:r w:rsidRPr="00C3053E">
        <w:rPr>
          <w:sz w:val="32"/>
          <w:szCs w:val="32"/>
        </w:rPr>
        <w:t>ICU &amp; Non-ICU</w:t>
      </w:r>
    </w:p>
    <w:p w14:paraId="606E7CB5" w14:textId="76D508D8" w:rsidR="00A55347" w:rsidRDefault="00A55347" w:rsidP="00780920">
      <w:r>
        <w:t xml:space="preserve">For more </w:t>
      </w:r>
      <w:r w:rsidR="00F82D57">
        <w:t xml:space="preserve">in-depth information on the implementation of decolonization, please refer to the </w:t>
      </w:r>
      <w:r w:rsidR="00862A26">
        <w:t>presentation</w:t>
      </w:r>
      <w:r w:rsidR="00F82D57">
        <w:t xml:space="preserve"> “</w:t>
      </w:r>
      <w:hyperlink r:id="rId11" w:history="1">
        <w:r w:rsidR="008038BB" w:rsidRPr="00134B8C">
          <w:rPr>
            <w:rStyle w:val="Hyperlink"/>
            <w:b/>
            <w:bCs/>
          </w:rPr>
          <w:t xml:space="preserve">Implementation of </w:t>
        </w:r>
        <w:r w:rsidR="00410AF5" w:rsidRPr="00134B8C">
          <w:rPr>
            <w:rStyle w:val="Hyperlink"/>
            <w:b/>
            <w:bCs/>
          </w:rPr>
          <w:t>Chlorhexidine Gluconate (CHG) Bathing and Nasal Decolonization</w:t>
        </w:r>
      </w:hyperlink>
      <w:r w:rsidR="00410AF5" w:rsidRPr="00780920">
        <w:t>,</w:t>
      </w:r>
      <w:r w:rsidR="00410AF5">
        <w:t xml:space="preserve">” available on the </w:t>
      </w:r>
      <w:r w:rsidR="00295813">
        <w:t>Decolonization topic page o</w:t>
      </w:r>
      <w:r w:rsidR="00862A26">
        <w:t>n</w:t>
      </w:r>
      <w:r w:rsidR="00295813">
        <w:t xml:space="preserve"> the Toolkit </w:t>
      </w:r>
      <w:r w:rsidR="00862A26">
        <w:t>website</w:t>
      </w:r>
      <w:r w:rsidR="00295813">
        <w:t>.</w:t>
      </w:r>
    </w:p>
    <w:p w14:paraId="59111119" w14:textId="32F447AD" w:rsidR="006D5024" w:rsidRPr="005207F2" w:rsidRDefault="00C506BA" w:rsidP="00862A26">
      <w:pPr>
        <w:pStyle w:val="Heading2"/>
        <w:spacing w:before="0"/>
      </w:pPr>
      <w:r w:rsidRPr="005207F2">
        <w:t>Review and Share the Evidence for Decolonization</w:t>
      </w:r>
    </w:p>
    <w:p w14:paraId="669C7F0D" w14:textId="669C9A2C" w:rsidR="003156A6" w:rsidRPr="005207F2" w:rsidRDefault="003156A6" w:rsidP="00996B4E">
      <w:r w:rsidRPr="005207F2">
        <w:t xml:space="preserve">Prior to implementation of decolonization, it </w:t>
      </w:r>
      <w:r w:rsidR="005754DA">
        <w:t>is</w:t>
      </w:r>
      <w:r w:rsidRPr="005207F2">
        <w:t xml:space="preserve"> worthwhile to review the </w:t>
      </w:r>
      <w:r w:rsidR="005C014E">
        <w:t xml:space="preserve">supporting </w:t>
      </w:r>
      <w:r w:rsidRPr="005207F2">
        <w:t>evidence.</w:t>
      </w:r>
      <w:r w:rsidR="00085801" w:rsidRPr="005207F2">
        <w:t xml:space="preserve"> </w:t>
      </w:r>
      <w:r w:rsidR="005C014E">
        <w:t>S</w:t>
      </w:r>
      <w:r w:rsidRPr="005207F2">
        <w:t xml:space="preserve">haring </w:t>
      </w:r>
      <w:r w:rsidR="008D1CC8">
        <w:t xml:space="preserve">the </w:t>
      </w:r>
      <w:r w:rsidR="005C014E">
        <w:t xml:space="preserve">relevant </w:t>
      </w:r>
      <w:r w:rsidRPr="005207F2">
        <w:t>literature</w:t>
      </w:r>
      <w:r w:rsidR="008D1CC8">
        <w:t xml:space="preserve"> on </w:t>
      </w:r>
      <w:r w:rsidRPr="005207F2">
        <w:t xml:space="preserve">decolonization </w:t>
      </w:r>
      <w:r w:rsidR="0055760A">
        <w:t>and evidence of its</w:t>
      </w:r>
      <w:r w:rsidRPr="005207F2">
        <w:t xml:space="preserve"> </w:t>
      </w:r>
      <w:r w:rsidR="0055760A">
        <w:t xml:space="preserve">potential benefit </w:t>
      </w:r>
      <w:r w:rsidRPr="005207F2">
        <w:t xml:space="preserve">can help to </w:t>
      </w:r>
      <w:r w:rsidR="0055760A">
        <w:t xml:space="preserve">persuade frontline </w:t>
      </w:r>
      <w:r w:rsidRPr="005207F2">
        <w:t>staff</w:t>
      </w:r>
      <w:r w:rsidR="0055760A">
        <w:t>, leaders,</w:t>
      </w:r>
      <w:r w:rsidRPr="005207F2">
        <w:t xml:space="preserve"> and </w:t>
      </w:r>
      <w:r w:rsidR="0055760A">
        <w:t xml:space="preserve">other </w:t>
      </w:r>
      <w:r w:rsidRPr="005207F2">
        <w:t>stakeholders of the benefits of decolonization</w:t>
      </w:r>
      <w:r w:rsidR="004375F2">
        <w:t>.</w:t>
      </w:r>
    </w:p>
    <w:p w14:paraId="018C2987" w14:textId="4B5D811F" w:rsidR="003156A6" w:rsidRDefault="003156A6" w:rsidP="00996B4E">
      <w:r w:rsidRPr="005207F2">
        <w:t xml:space="preserve">The table below </w:t>
      </w:r>
      <w:r w:rsidR="0055760A">
        <w:t>highlights</w:t>
      </w:r>
      <w:r w:rsidR="0055760A" w:rsidRPr="005207F2">
        <w:t xml:space="preserve"> </w:t>
      </w:r>
      <w:r w:rsidRPr="005207F2">
        <w:t xml:space="preserve">some of the more notable studies on decolonization. </w:t>
      </w:r>
      <w:r w:rsidR="0055760A">
        <w:t xml:space="preserve">For more in-depth </w:t>
      </w:r>
      <w:r w:rsidR="00A71778">
        <w:t>information, please</w:t>
      </w:r>
      <w:r w:rsidRPr="005207F2">
        <w:t xml:space="preserve"> refer to </w:t>
      </w:r>
      <w:r w:rsidR="00657B07" w:rsidRPr="005207F2">
        <w:t xml:space="preserve">the </w:t>
      </w:r>
      <w:r w:rsidR="00862A26">
        <w:t>presentation</w:t>
      </w:r>
      <w:r w:rsidRPr="005207F2">
        <w:rPr>
          <w:b/>
          <w:bCs/>
        </w:rPr>
        <w:t xml:space="preserve"> </w:t>
      </w:r>
      <w:r w:rsidRPr="00F0361C">
        <w:t>“</w:t>
      </w:r>
      <w:hyperlink r:id="rId12" w:history="1">
        <w:r w:rsidRPr="00134B8C">
          <w:rPr>
            <w:rStyle w:val="Hyperlink"/>
            <w:b/>
            <w:bCs/>
          </w:rPr>
          <w:t>The Evidence Behind Decoloniza</w:t>
        </w:r>
        <w:r w:rsidRPr="00134B8C">
          <w:rPr>
            <w:rStyle w:val="Hyperlink"/>
            <w:b/>
            <w:bCs/>
          </w:rPr>
          <w:t>t</w:t>
        </w:r>
        <w:r w:rsidRPr="00134B8C">
          <w:rPr>
            <w:rStyle w:val="Hyperlink"/>
            <w:b/>
            <w:bCs/>
          </w:rPr>
          <w:t>ion Strategies for MRSA</w:t>
        </w:r>
      </w:hyperlink>
      <w:r w:rsidRPr="00F0361C">
        <w:t>”</w:t>
      </w:r>
      <w:r w:rsidRPr="005207F2">
        <w:t xml:space="preserve"> for </w:t>
      </w:r>
      <w:r w:rsidR="00A71778">
        <w:t xml:space="preserve">a </w:t>
      </w:r>
      <w:r w:rsidRPr="005207F2">
        <w:t xml:space="preserve">detailed </w:t>
      </w:r>
      <w:r w:rsidR="00A71778">
        <w:t>overview of</w:t>
      </w:r>
      <w:r w:rsidR="00A71778" w:rsidRPr="005207F2">
        <w:t xml:space="preserve"> </w:t>
      </w:r>
      <w:r w:rsidR="002E7CBB">
        <w:t>the current research on decolonization</w:t>
      </w:r>
      <w:r w:rsidRPr="005207F2">
        <w:t xml:space="preserve"> in acute care settings.</w:t>
      </w:r>
    </w:p>
    <w:tbl>
      <w:tblPr>
        <w:tblStyle w:val="TableGrid"/>
        <w:tblW w:w="10780" w:type="dxa"/>
        <w:jc w:val="center"/>
        <w:tblCellMar>
          <w:left w:w="72" w:type="dxa"/>
          <w:right w:w="72" w:type="dxa"/>
        </w:tblCellMar>
        <w:tblLook w:val="04A0" w:firstRow="1" w:lastRow="0" w:firstColumn="1" w:lastColumn="0" w:noHBand="0" w:noVBand="1"/>
      </w:tblPr>
      <w:tblGrid>
        <w:gridCol w:w="902"/>
        <w:gridCol w:w="1008"/>
        <w:gridCol w:w="659"/>
        <w:gridCol w:w="835"/>
        <w:gridCol w:w="576"/>
        <w:gridCol w:w="737"/>
        <w:gridCol w:w="4407"/>
        <w:gridCol w:w="1656"/>
      </w:tblGrid>
      <w:tr w:rsidR="00E648DC" w:rsidRPr="00A72071" w14:paraId="09E072D7" w14:textId="77777777" w:rsidTr="00A10EE9">
        <w:trPr>
          <w:trHeight w:val="20"/>
          <w:jc w:val="center"/>
        </w:trPr>
        <w:tc>
          <w:tcPr>
            <w:tcW w:w="0" w:type="auto"/>
            <w:shd w:val="clear" w:color="auto" w:fill="007DA3" w:themeFill="accent1"/>
            <w:vAlign w:val="center"/>
          </w:tcPr>
          <w:p w14:paraId="21CDC8A8" w14:textId="329D4357" w:rsidR="00C430F9" w:rsidRPr="00A72071" w:rsidRDefault="001E0B16" w:rsidP="002D2080">
            <w:pPr>
              <w:spacing w:after="60" w:line="240" w:lineRule="auto"/>
              <w:jc w:val="center"/>
              <w:rPr>
                <w:b/>
                <w:color w:val="FFFFFF" w:themeColor="background1"/>
                <w:sz w:val="18"/>
                <w:szCs w:val="18"/>
              </w:rPr>
            </w:pPr>
            <w:r w:rsidRPr="00A72071">
              <w:rPr>
                <w:b/>
                <w:color w:val="FFFFFF" w:themeColor="background1"/>
                <w:sz w:val="18"/>
                <w:szCs w:val="18"/>
              </w:rPr>
              <w:t>Author</w:t>
            </w:r>
          </w:p>
        </w:tc>
        <w:tc>
          <w:tcPr>
            <w:tcW w:w="1008" w:type="dxa"/>
            <w:shd w:val="clear" w:color="auto" w:fill="007DA3" w:themeFill="accent1"/>
            <w:vAlign w:val="center"/>
          </w:tcPr>
          <w:p w14:paraId="6E97AABF" w14:textId="5A8C3BC7" w:rsidR="00C430F9" w:rsidRPr="00A72071" w:rsidRDefault="00B65D77" w:rsidP="002D2080">
            <w:pPr>
              <w:spacing w:after="60" w:line="240" w:lineRule="auto"/>
              <w:jc w:val="center"/>
              <w:rPr>
                <w:b/>
                <w:color w:val="FFFFFF" w:themeColor="background1"/>
                <w:sz w:val="18"/>
                <w:szCs w:val="18"/>
              </w:rPr>
            </w:pPr>
            <w:r w:rsidRPr="00A72071">
              <w:rPr>
                <w:b/>
                <w:color w:val="FFFFFF" w:themeColor="background1"/>
                <w:sz w:val="18"/>
                <w:szCs w:val="18"/>
              </w:rPr>
              <w:t>Study Year</w:t>
            </w:r>
          </w:p>
        </w:tc>
        <w:tc>
          <w:tcPr>
            <w:tcW w:w="659" w:type="dxa"/>
            <w:shd w:val="clear" w:color="auto" w:fill="007DA3" w:themeFill="accent1"/>
            <w:vAlign w:val="center"/>
          </w:tcPr>
          <w:p w14:paraId="4B7E59CC" w14:textId="654BFD12" w:rsidR="00C430F9" w:rsidRPr="00A72071" w:rsidRDefault="00B65D77" w:rsidP="002D2080">
            <w:pPr>
              <w:spacing w:after="60" w:line="240" w:lineRule="auto"/>
              <w:jc w:val="center"/>
              <w:rPr>
                <w:b/>
                <w:color w:val="FFFFFF" w:themeColor="background1"/>
                <w:sz w:val="18"/>
                <w:szCs w:val="18"/>
              </w:rPr>
            </w:pPr>
            <w:r w:rsidRPr="00A72071">
              <w:rPr>
                <w:b/>
                <w:color w:val="FFFFFF" w:themeColor="background1"/>
                <w:sz w:val="18"/>
                <w:szCs w:val="18"/>
              </w:rPr>
              <w:t>Study Type</w:t>
            </w:r>
          </w:p>
        </w:tc>
        <w:tc>
          <w:tcPr>
            <w:tcW w:w="0" w:type="auto"/>
            <w:shd w:val="clear" w:color="auto" w:fill="007DA3" w:themeFill="accent1"/>
            <w:vAlign w:val="center"/>
          </w:tcPr>
          <w:p w14:paraId="4947BD0D" w14:textId="164068E1" w:rsidR="00C430F9" w:rsidRPr="00A72071" w:rsidRDefault="00B65D77" w:rsidP="002D2080">
            <w:pPr>
              <w:spacing w:after="60" w:line="240" w:lineRule="auto"/>
              <w:jc w:val="center"/>
              <w:rPr>
                <w:b/>
                <w:color w:val="FFFFFF" w:themeColor="background1"/>
                <w:sz w:val="18"/>
                <w:szCs w:val="18"/>
              </w:rPr>
            </w:pPr>
            <w:r w:rsidRPr="00A72071">
              <w:rPr>
                <w:b/>
                <w:color w:val="FFFFFF" w:themeColor="background1"/>
                <w:sz w:val="18"/>
                <w:szCs w:val="18"/>
              </w:rPr>
              <w:t>Hospital</w:t>
            </w:r>
            <w:r w:rsidR="00A10EE9">
              <w:rPr>
                <w:b/>
                <w:color w:val="FFFFFF" w:themeColor="background1"/>
                <w:sz w:val="18"/>
                <w:szCs w:val="18"/>
              </w:rPr>
              <w:t>s</w:t>
            </w:r>
          </w:p>
        </w:tc>
        <w:tc>
          <w:tcPr>
            <w:tcW w:w="576" w:type="dxa"/>
            <w:shd w:val="clear" w:color="auto" w:fill="007DA3" w:themeFill="accent1"/>
            <w:vAlign w:val="center"/>
          </w:tcPr>
          <w:p w14:paraId="602C82AC" w14:textId="014AFED5" w:rsidR="00C430F9" w:rsidRPr="00A72071" w:rsidRDefault="009C58BC" w:rsidP="002D2080">
            <w:pPr>
              <w:spacing w:after="60" w:line="240" w:lineRule="auto"/>
              <w:jc w:val="center"/>
              <w:rPr>
                <w:b/>
                <w:color w:val="FFFFFF" w:themeColor="background1"/>
                <w:sz w:val="18"/>
                <w:szCs w:val="18"/>
              </w:rPr>
            </w:pPr>
            <w:r w:rsidRPr="00A72071">
              <w:rPr>
                <w:b/>
                <w:color w:val="FFFFFF" w:themeColor="background1"/>
                <w:sz w:val="18"/>
                <w:szCs w:val="18"/>
              </w:rPr>
              <w:t>Units</w:t>
            </w:r>
          </w:p>
        </w:tc>
        <w:tc>
          <w:tcPr>
            <w:tcW w:w="737" w:type="dxa"/>
            <w:shd w:val="clear" w:color="auto" w:fill="007DA3" w:themeFill="accent1"/>
            <w:vAlign w:val="center"/>
          </w:tcPr>
          <w:p w14:paraId="269DF05B" w14:textId="31910A93" w:rsidR="00C430F9" w:rsidRPr="00A72071" w:rsidRDefault="00B65D77" w:rsidP="002D2080">
            <w:pPr>
              <w:spacing w:after="60" w:line="240" w:lineRule="auto"/>
              <w:jc w:val="center"/>
              <w:rPr>
                <w:b/>
                <w:color w:val="FFFFFF" w:themeColor="background1"/>
                <w:sz w:val="18"/>
                <w:szCs w:val="18"/>
              </w:rPr>
            </w:pPr>
            <w:r w:rsidRPr="00A72071">
              <w:rPr>
                <w:b/>
                <w:color w:val="FFFFFF" w:themeColor="background1"/>
                <w:sz w:val="18"/>
                <w:szCs w:val="18"/>
              </w:rPr>
              <w:t>N</w:t>
            </w:r>
          </w:p>
        </w:tc>
        <w:tc>
          <w:tcPr>
            <w:tcW w:w="0" w:type="auto"/>
            <w:shd w:val="clear" w:color="auto" w:fill="007DA3" w:themeFill="accent1"/>
            <w:vAlign w:val="center"/>
          </w:tcPr>
          <w:p w14:paraId="141A8DCE" w14:textId="10105558" w:rsidR="00C430F9" w:rsidRPr="00A72071" w:rsidRDefault="00B65D77" w:rsidP="002D2080">
            <w:pPr>
              <w:spacing w:after="60" w:line="240" w:lineRule="auto"/>
              <w:jc w:val="center"/>
              <w:rPr>
                <w:b/>
                <w:color w:val="FFFFFF" w:themeColor="background1"/>
                <w:sz w:val="18"/>
                <w:szCs w:val="18"/>
              </w:rPr>
            </w:pPr>
            <w:r w:rsidRPr="00A72071">
              <w:rPr>
                <w:b/>
                <w:color w:val="FFFFFF" w:themeColor="background1"/>
                <w:sz w:val="18"/>
                <w:szCs w:val="18"/>
              </w:rPr>
              <w:t>Findings</w:t>
            </w:r>
          </w:p>
        </w:tc>
        <w:tc>
          <w:tcPr>
            <w:tcW w:w="1656" w:type="dxa"/>
            <w:shd w:val="clear" w:color="auto" w:fill="007DA3" w:themeFill="accent1"/>
            <w:vAlign w:val="center"/>
          </w:tcPr>
          <w:p w14:paraId="59BEDAE5" w14:textId="1474496F" w:rsidR="00C430F9" w:rsidRPr="00A72071" w:rsidRDefault="0051018A" w:rsidP="002D2080">
            <w:pPr>
              <w:spacing w:after="60" w:line="240" w:lineRule="auto"/>
              <w:jc w:val="center"/>
              <w:rPr>
                <w:b/>
                <w:color w:val="FFFFFF" w:themeColor="background1"/>
                <w:sz w:val="18"/>
                <w:szCs w:val="18"/>
              </w:rPr>
            </w:pPr>
            <w:r w:rsidRPr="00A72071">
              <w:rPr>
                <w:b/>
                <w:color w:val="FFFFFF" w:themeColor="background1"/>
                <w:sz w:val="18"/>
                <w:szCs w:val="18"/>
              </w:rPr>
              <w:t>Publication</w:t>
            </w:r>
          </w:p>
        </w:tc>
      </w:tr>
      <w:tr w:rsidR="00E648DC" w:rsidRPr="00A72071" w14:paraId="5ABC2C47" w14:textId="77777777" w:rsidTr="00A10EE9">
        <w:trPr>
          <w:trHeight w:val="20"/>
          <w:jc w:val="center"/>
        </w:trPr>
        <w:tc>
          <w:tcPr>
            <w:tcW w:w="0" w:type="auto"/>
          </w:tcPr>
          <w:p w14:paraId="02A247F3" w14:textId="21E3F4A8" w:rsidR="00C430F9" w:rsidRPr="00A72071" w:rsidRDefault="007C6FFD" w:rsidP="006208A0">
            <w:pPr>
              <w:spacing w:after="120" w:line="240" w:lineRule="auto"/>
              <w:rPr>
                <w:rFonts w:cstheme="minorHAnsi"/>
                <w:sz w:val="18"/>
                <w:szCs w:val="18"/>
                <w:vertAlign w:val="superscript"/>
              </w:rPr>
            </w:pPr>
            <w:r w:rsidRPr="00A72071">
              <w:rPr>
                <w:rFonts w:cstheme="minorHAnsi"/>
                <w:sz w:val="18"/>
                <w:szCs w:val="18"/>
              </w:rPr>
              <w:t>Vernon</w:t>
            </w:r>
            <w:r w:rsidR="001A64B1" w:rsidRPr="00A72071">
              <w:rPr>
                <w:rFonts w:cstheme="minorHAnsi"/>
                <w:sz w:val="18"/>
                <w:szCs w:val="18"/>
                <w:vertAlign w:val="superscript"/>
              </w:rPr>
              <w:t>1</w:t>
            </w:r>
          </w:p>
        </w:tc>
        <w:tc>
          <w:tcPr>
            <w:tcW w:w="1008" w:type="dxa"/>
          </w:tcPr>
          <w:p w14:paraId="26AEDE57" w14:textId="217B89DE" w:rsidR="00C430F9" w:rsidRPr="00A72071" w:rsidRDefault="00E648DC" w:rsidP="006208A0">
            <w:pPr>
              <w:spacing w:after="120" w:line="240" w:lineRule="auto"/>
              <w:rPr>
                <w:rFonts w:cstheme="minorHAnsi"/>
                <w:sz w:val="18"/>
                <w:szCs w:val="18"/>
              </w:rPr>
            </w:pPr>
            <w:r>
              <w:rPr>
                <w:rFonts w:cstheme="minorHAnsi"/>
                <w:sz w:val="18"/>
                <w:szCs w:val="18"/>
              </w:rPr>
              <w:t xml:space="preserve">Oct </w:t>
            </w:r>
            <w:r w:rsidR="00E2420B">
              <w:rPr>
                <w:rFonts w:cstheme="minorHAnsi"/>
                <w:sz w:val="18"/>
                <w:szCs w:val="18"/>
              </w:rPr>
              <w:t>20</w:t>
            </w:r>
            <w:r w:rsidR="00C4192E" w:rsidRPr="00A72071">
              <w:rPr>
                <w:rFonts w:cstheme="minorHAnsi"/>
                <w:sz w:val="18"/>
                <w:szCs w:val="18"/>
              </w:rPr>
              <w:t>02</w:t>
            </w:r>
            <w:r w:rsidR="00BD6A36">
              <w:rPr>
                <w:rFonts w:cstheme="minorHAnsi"/>
                <w:sz w:val="18"/>
                <w:szCs w:val="18"/>
              </w:rPr>
              <w:t>–</w:t>
            </w:r>
            <w:r>
              <w:rPr>
                <w:rFonts w:cstheme="minorHAnsi"/>
                <w:sz w:val="18"/>
                <w:szCs w:val="18"/>
              </w:rPr>
              <w:t xml:space="preserve">Dec </w:t>
            </w:r>
            <w:r w:rsidR="00E2420B">
              <w:rPr>
                <w:rFonts w:cstheme="minorHAnsi"/>
                <w:sz w:val="18"/>
                <w:szCs w:val="18"/>
              </w:rPr>
              <w:t>20</w:t>
            </w:r>
            <w:r w:rsidR="00C4192E" w:rsidRPr="00A72071">
              <w:rPr>
                <w:rFonts w:cstheme="minorHAnsi"/>
                <w:sz w:val="18"/>
                <w:szCs w:val="18"/>
              </w:rPr>
              <w:t>03</w:t>
            </w:r>
          </w:p>
        </w:tc>
        <w:tc>
          <w:tcPr>
            <w:tcW w:w="659" w:type="dxa"/>
          </w:tcPr>
          <w:p w14:paraId="1D9477C4" w14:textId="7C6A41A3" w:rsidR="00C430F9" w:rsidRPr="00A72071" w:rsidRDefault="00184CAE" w:rsidP="006208A0">
            <w:pPr>
              <w:spacing w:after="120" w:line="240" w:lineRule="auto"/>
              <w:jc w:val="center"/>
              <w:rPr>
                <w:rFonts w:cstheme="minorHAnsi"/>
                <w:sz w:val="18"/>
                <w:szCs w:val="18"/>
              </w:rPr>
            </w:pPr>
            <w:proofErr w:type="spellStart"/>
            <w:r w:rsidRPr="00A72071">
              <w:rPr>
                <w:rFonts w:cstheme="minorHAnsi"/>
                <w:sz w:val="18"/>
                <w:szCs w:val="18"/>
              </w:rPr>
              <w:t>Obs</w:t>
            </w:r>
            <w:proofErr w:type="spellEnd"/>
          </w:p>
        </w:tc>
        <w:tc>
          <w:tcPr>
            <w:tcW w:w="0" w:type="auto"/>
          </w:tcPr>
          <w:p w14:paraId="63C3619C" w14:textId="136501A7" w:rsidR="00C430F9" w:rsidRPr="00A72071" w:rsidRDefault="00184CAE" w:rsidP="006208A0">
            <w:pPr>
              <w:spacing w:after="120" w:line="240" w:lineRule="auto"/>
              <w:jc w:val="center"/>
              <w:rPr>
                <w:rFonts w:cstheme="minorHAnsi"/>
                <w:sz w:val="18"/>
                <w:szCs w:val="18"/>
              </w:rPr>
            </w:pPr>
            <w:r w:rsidRPr="00A72071">
              <w:rPr>
                <w:rFonts w:cstheme="minorHAnsi"/>
                <w:sz w:val="18"/>
                <w:szCs w:val="18"/>
              </w:rPr>
              <w:t>1</w:t>
            </w:r>
          </w:p>
        </w:tc>
        <w:tc>
          <w:tcPr>
            <w:tcW w:w="576" w:type="dxa"/>
          </w:tcPr>
          <w:p w14:paraId="59847B7B" w14:textId="0228FEF1" w:rsidR="00C430F9" w:rsidRPr="00A72071" w:rsidRDefault="0062263F" w:rsidP="006208A0">
            <w:pPr>
              <w:spacing w:after="120" w:line="240" w:lineRule="auto"/>
              <w:jc w:val="center"/>
              <w:rPr>
                <w:rFonts w:cstheme="minorHAnsi"/>
                <w:sz w:val="18"/>
                <w:szCs w:val="18"/>
              </w:rPr>
            </w:pPr>
            <w:r w:rsidRPr="00A72071">
              <w:rPr>
                <w:rFonts w:cstheme="minorHAnsi"/>
                <w:sz w:val="18"/>
                <w:szCs w:val="18"/>
              </w:rPr>
              <w:t>1</w:t>
            </w:r>
            <w:r w:rsidR="00B81C8D">
              <w:rPr>
                <w:rFonts w:cstheme="minorHAnsi"/>
                <w:sz w:val="18"/>
                <w:szCs w:val="18"/>
              </w:rPr>
              <w:t xml:space="preserve"> </w:t>
            </w:r>
            <w:r w:rsidR="00145C93" w:rsidRPr="00A72071">
              <w:rPr>
                <w:rFonts w:cstheme="minorHAnsi"/>
                <w:sz w:val="18"/>
                <w:szCs w:val="18"/>
              </w:rPr>
              <w:t>(ICU</w:t>
            </w:r>
            <w:r w:rsidR="002115E1" w:rsidRPr="00A72071">
              <w:rPr>
                <w:rFonts w:cstheme="minorHAnsi"/>
                <w:sz w:val="18"/>
                <w:szCs w:val="18"/>
              </w:rPr>
              <w:t>)</w:t>
            </w:r>
          </w:p>
        </w:tc>
        <w:tc>
          <w:tcPr>
            <w:tcW w:w="737" w:type="dxa"/>
          </w:tcPr>
          <w:p w14:paraId="4A820768" w14:textId="7E1F2419" w:rsidR="00C430F9" w:rsidRPr="00A72071" w:rsidRDefault="00EE261D" w:rsidP="006208A0">
            <w:pPr>
              <w:spacing w:after="120" w:line="240" w:lineRule="auto"/>
              <w:jc w:val="center"/>
              <w:rPr>
                <w:rFonts w:cstheme="minorHAnsi"/>
                <w:sz w:val="18"/>
                <w:szCs w:val="18"/>
              </w:rPr>
            </w:pPr>
            <w:r w:rsidRPr="00A72071">
              <w:rPr>
                <w:rFonts w:cstheme="minorHAnsi"/>
                <w:sz w:val="18"/>
                <w:szCs w:val="18"/>
              </w:rPr>
              <w:t>1,787</w:t>
            </w:r>
          </w:p>
        </w:tc>
        <w:tc>
          <w:tcPr>
            <w:tcW w:w="0" w:type="auto"/>
          </w:tcPr>
          <w:p w14:paraId="64CC188E" w14:textId="77777777" w:rsidR="00C430F9" w:rsidRPr="00A72071" w:rsidRDefault="00BD68F3" w:rsidP="006208A0">
            <w:pPr>
              <w:spacing w:after="120" w:line="240" w:lineRule="auto"/>
              <w:rPr>
                <w:rFonts w:cstheme="minorHAnsi"/>
                <w:b/>
                <w:sz w:val="18"/>
                <w:szCs w:val="18"/>
              </w:rPr>
            </w:pPr>
            <w:r w:rsidRPr="00A72071">
              <w:rPr>
                <w:rFonts w:cstheme="minorHAnsi"/>
                <w:b/>
                <w:sz w:val="18"/>
                <w:szCs w:val="18"/>
              </w:rPr>
              <w:t>65% less VRE acquisition</w:t>
            </w:r>
          </w:p>
          <w:p w14:paraId="796305EE" w14:textId="1B64D6E7" w:rsidR="00A911E1" w:rsidRPr="00A72071" w:rsidRDefault="00A911E1" w:rsidP="006208A0">
            <w:pPr>
              <w:spacing w:after="120" w:line="240" w:lineRule="auto"/>
              <w:rPr>
                <w:rFonts w:cstheme="minorHAnsi"/>
                <w:b/>
                <w:sz w:val="18"/>
                <w:szCs w:val="18"/>
              </w:rPr>
            </w:pPr>
            <w:r w:rsidRPr="00A72071">
              <w:rPr>
                <w:rFonts w:cstheme="minorHAnsi"/>
                <w:b/>
                <w:sz w:val="18"/>
                <w:szCs w:val="18"/>
              </w:rPr>
              <w:t>40</w:t>
            </w:r>
            <w:r w:rsidR="00BD6A36">
              <w:rPr>
                <w:rFonts w:cstheme="minorHAnsi"/>
                <w:b/>
                <w:sz w:val="18"/>
                <w:szCs w:val="18"/>
              </w:rPr>
              <w:t>%</w:t>
            </w:r>
            <w:r w:rsidR="00BD6A36">
              <w:rPr>
                <w:rFonts w:cstheme="minorHAnsi"/>
                <w:sz w:val="18"/>
                <w:szCs w:val="18"/>
              </w:rPr>
              <w:t>–</w:t>
            </w:r>
            <w:r w:rsidRPr="00A72071">
              <w:rPr>
                <w:rFonts w:cstheme="minorHAnsi"/>
                <w:b/>
                <w:sz w:val="18"/>
                <w:szCs w:val="18"/>
              </w:rPr>
              <w:t xml:space="preserve">70% less </w:t>
            </w:r>
            <w:r w:rsidR="008D0AD8" w:rsidRPr="00A72071">
              <w:rPr>
                <w:rFonts w:cstheme="minorHAnsi"/>
                <w:b/>
                <w:sz w:val="18"/>
                <w:szCs w:val="18"/>
              </w:rPr>
              <w:t>VRE on skin, HCW hands</w:t>
            </w:r>
            <w:r w:rsidR="00D91C8D" w:rsidRPr="00A72071">
              <w:rPr>
                <w:rFonts w:cstheme="minorHAnsi"/>
                <w:b/>
                <w:sz w:val="18"/>
                <w:szCs w:val="18"/>
              </w:rPr>
              <w:t>, environment</w:t>
            </w:r>
          </w:p>
        </w:tc>
        <w:tc>
          <w:tcPr>
            <w:tcW w:w="1656" w:type="dxa"/>
          </w:tcPr>
          <w:p w14:paraId="66E783E7" w14:textId="097D165A" w:rsidR="00C430F9" w:rsidRPr="00A72071" w:rsidRDefault="00D91C8D" w:rsidP="006208A0">
            <w:pPr>
              <w:spacing w:after="120" w:line="240" w:lineRule="auto"/>
              <w:rPr>
                <w:rFonts w:cstheme="minorHAnsi"/>
                <w:sz w:val="18"/>
                <w:szCs w:val="18"/>
              </w:rPr>
            </w:pPr>
            <w:r w:rsidRPr="00A72071">
              <w:rPr>
                <w:rFonts w:cstheme="minorHAnsi"/>
                <w:sz w:val="18"/>
                <w:szCs w:val="18"/>
              </w:rPr>
              <w:t>Arch Int Med 2006</w:t>
            </w:r>
            <w:r w:rsidR="00E7488A" w:rsidRPr="00A72071">
              <w:rPr>
                <w:rFonts w:cstheme="minorHAnsi"/>
                <w:sz w:val="18"/>
                <w:szCs w:val="18"/>
              </w:rPr>
              <w:t>;166:306-12</w:t>
            </w:r>
          </w:p>
        </w:tc>
      </w:tr>
      <w:tr w:rsidR="00E648DC" w:rsidRPr="00A72071" w14:paraId="04ECCFED" w14:textId="77777777" w:rsidTr="00A10EE9">
        <w:trPr>
          <w:trHeight w:val="20"/>
          <w:jc w:val="center"/>
        </w:trPr>
        <w:tc>
          <w:tcPr>
            <w:tcW w:w="0" w:type="auto"/>
          </w:tcPr>
          <w:p w14:paraId="7FFB8731" w14:textId="716AD9DC" w:rsidR="00C430F9" w:rsidRPr="00A72071" w:rsidRDefault="003D2B9E" w:rsidP="006208A0">
            <w:pPr>
              <w:spacing w:after="120" w:line="240" w:lineRule="auto"/>
              <w:rPr>
                <w:rFonts w:cstheme="minorHAnsi"/>
                <w:sz w:val="18"/>
                <w:szCs w:val="18"/>
                <w:vertAlign w:val="superscript"/>
              </w:rPr>
            </w:pPr>
            <w:r w:rsidRPr="00A72071">
              <w:rPr>
                <w:rFonts w:cstheme="minorHAnsi"/>
                <w:sz w:val="18"/>
                <w:szCs w:val="18"/>
              </w:rPr>
              <w:t>Climo</w:t>
            </w:r>
            <w:r w:rsidR="00602ED6" w:rsidRPr="00A72071">
              <w:rPr>
                <w:rFonts w:cstheme="minorHAnsi"/>
                <w:sz w:val="18"/>
                <w:szCs w:val="18"/>
                <w:vertAlign w:val="superscript"/>
              </w:rPr>
              <w:t>2</w:t>
            </w:r>
          </w:p>
        </w:tc>
        <w:tc>
          <w:tcPr>
            <w:tcW w:w="1008" w:type="dxa"/>
          </w:tcPr>
          <w:p w14:paraId="6F7E561D" w14:textId="069519D0" w:rsidR="00C430F9" w:rsidRPr="00A72071" w:rsidRDefault="00E648DC" w:rsidP="006208A0">
            <w:pPr>
              <w:spacing w:after="120" w:line="240" w:lineRule="auto"/>
              <w:rPr>
                <w:rFonts w:cstheme="minorHAnsi"/>
                <w:sz w:val="18"/>
                <w:szCs w:val="18"/>
              </w:rPr>
            </w:pPr>
            <w:r>
              <w:rPr>
                <w:rFonts w:cstheme="minorHAnsi"/>
                <w:sz w:val="18"/>
                <w:szCs w:val="18"/>
              </w:rPr>
              <w:t xml:space="preserve">Dec </w:t>
            </w:r>
            <w:r w:rsidR="00E2420B">
              <w:rPr>
                <w:rFonts w:cstheme="minorHAnsi"/>
                <w:sz w:val="18"/>
                <w:szCs w:val="18"/>
              </w:rPr>
              <w:t>20</w:t>
            </w:r>
            <w:r w:rsidR="00490C1E" w:rsidRPr="00A72071">
              <w:rPr>
                <w:rFonts w:cstheme="minorHAnsi"/>
                <w:sz w:val="18"/>
                <w:szCs w:val="18"/>
              </w:rPr>
              <w:t>04</w:t>
            </w:r>
            <w:r w:rsidR="00BD6A36">
              <w:rPr>
                <w:rFonts w:cstheme="minorHAnsi"/>
                <w:sz w:val="18"/>
                <w:szCs w:val="18"/>
              </w:rPr>
              <w:t>–</w:t>
            </w:r>
            <w:r>
              <w:rPr>
                <w:rFonts w:cstheme="minorHAnsi"/>
                <w:sz w:val="18"/>
                <w:szCs w:val="18"/>
              </w:rPr>
              <w:t xml:space="preserve">Jan </w:t>
            </w:r>
            <w:r w:rsidR="00E2420B">
              <w:rPr>
                <w:rFonts w:cstheme="minorHAnsi"/>
                <w:sz w:val="18"/>
                <w:szCs w:val="18"/>
              </w:rPr>
              <w:t>20</w:t>
            </w:r>
            <w:r w:rsidR="00490C1E" w:rsidRPr="00A72071">
              <w:rPr>
                <w:rFonts w:cstheme="minorHAnsi"/>
                <w:sz w:val="18"/>
                <w:szCs w:val="18"/>
              </w:rPr>
              <w:t xml:space="preserve">06 </w:t>
            </w:r>
          </w:p>
        </w:tc>
        <w:tc>
          <w:tcPr>
            <w:tcW w:w="659" w:type="dxa"/>
          </w:tcPr>
          <w:p w14:paraId="5CBA855A" w14:textId="224C01B2" w:rsidR="00C430F9" w:rsidRPr="00A72071" w:rsidRDefault="00490C1E" w:rsidP="006208A0">
            <w:pPr>
              <w:spacing w:after="120" w:line="240" w:lineRule="auto"/>
              <w:jc w:val="center"/>
              <w:rPr>
                <w:rFonts w:cstheme="minorHAnsi"/>
                <w:sz w:val="18"/>
                <w:szCs w:val="18"/>
              </w:rPr>
            </w:pPr>
            <w:proofErr w:type="spellStart"/>
            <w:r w:rsidRPr="00A72071">
              <w:rPr>
                <w:rFonts w:cstheme="minorHAnsi"/>
                <w:sz w:val="18"/>
                <w:szCs w:val="18"/>
              </w:rPr>
              <w:t>Obs</w:t>
            </w:r>
            <w:proofErr w:type="spellEnd"/>
          </w:p>
        </w:tc>
        <w:tc>
          <w:tcPr>
            <w:tcW w:w="0" w:type="auto"/>
          </w:tcPr>
          <w:p w14:paraId="7A9AC068" w14:textId="29CEACDE" w:rsidR="00C430F9" w:rsidRPr="00A72071" w:rsidRDefault="00751D35" w:rsidP="006208A0">
            <w:pPr>
              <w:spacing w:after="120" w:line="240" w:lineRule="auto"/>
              <w:jc w:val="center"/>
              <w:rPr>
                <w:rFonts w:cstheme="minorHAnsi"/>
                <w:sz w:val="18"/>
                <w:szCs w:val="18"/>
              </w:rPr>
            </w:pPr>
            <w:r w:rsidRPr="00A72071">
              <w:rPr>
                <w:rFonts w:cstheme="minorHAnsi"/>
                <w:sz w:val="18"/>
                <w:szCs w:val="18"/>
              </w:rPr>
              <w:t>4</w:t>
            </w:r>
          </w:p>
        </w:tc>
        <w:tc>
          <w:tcPr>
            <w:tcW w:w="576" w:type="dxa"/>
          </w:tcPr>
          <w:p w14:paraId="1DD45982" w14:textId="554B876D" w:rsidR="00C430F9" w:rsidRPr="00A72071" w:rsidRDefault="00751D35" w:rsidP="006208A0">
            <w:pPr>
              <w:spacing w:after="120" w:line="240" w:lineRule="auto"/>
              <w:jc w:val="center"/>
              <w:rPr>
                <w:rFonts w:cstheme="minorHAnsi"/>
                <w:sz w:val="18"/>
                <w:szCs w:val="18"/>
              </w:rPr>
            </w:pPr>
            <w:r w:rsidRPr="00A72071">
              <w:rPr>
                <w:rFonts w:cstheme="minorHAnsi"/>
                <w:sz w:val="18"/>
                <w:szCs w:val="18"/>
              </w:rPr>
              <w:t>6</w:t>
            </w:r>
            <w:r w:rsidR="00B81C8D">
              <w:rPr>
                <w:rFonts w:cstheme="minorHAnsi"/>
                <w:sz w:val="18"/>
                <w:szCs w:val="18"/>
              </w:rPr>
              <w:t xml:space="preserve"> </w:t>
            </w:r>
            <w:r w:rsidR="002115E1" w:rsidRPr="00A72071">
              <w:rPr>
                <w:rFonts w:cstheme="minorHAnsi"/>
                <w:sz w:val="18"/>
                <w:szCs w:val="18"/>
              </w:rPr>
              <w:t>(ICU)</w:t>
            </w:r>
          </w:p>
        </w:tc>
        <w:tc>
          <w:tcPr>
            <w:tcW w:w="737" w:type="dxa"/>
          </w:tcPr>
          <w:p w14:paraId="767A904A" w14:textId="38FE7968" w:rsidR="00C430F9" w:rsidRPr="00A72071" w:rsidRDefault="004711BF" w:rsidP="006208A0">
            <w:pPr>
              <w:spacing w:after="120" w:line="240" w:lineRule="auto"/>
              <w:jc w:val="center"/>
              <w:rPr>
                <w:rFonts w:cstheme="minorHAnsi"/>
                <w:sz w:val="18"/>
                <w:szCs w:val="18"/>
              </w:rPr>
            </w:pPr>
            <w:r w:rsidRPr="00A72071">
              <w:rPr>
                <w:rFonts w:cstheme="minorHAnsi"/>
                <w:sz w:val="18"/>
                <w:szCs w:val="18"/>
              </w:rPr>
              <w:t>5,293</w:t>
            </w:r>
          </w:p>
        </w:tc>
        <w:tc>
          <w:tcPr>
            <w:tcW w:w="0" w:type="auto"/>
          </w:tcPr>
          <w:p w14:paraId="0842F1B5" w14:textId="77777777" w:rsidR="00C430F9" w:rsidRPr="00A72071" w:rsidRDefault="00F826D3" w:rsidP="006208A0">
            <w:pPr>
              <w:spacing w:after="120" w:line="240" w:lineRule="auto"/>
              <w:rPr>
                <w:rFonts w:cstheme="minorHAnsi"/>
                <w:b/>
                <w:sz w:val="18"/>
                <w:szCs w:val="18"/>
              </w:rPr>
            </w:pPr>
            <w:r w:rsidRPr="00A72071">
              <w:rPr>
                <w:rFonts w:cstheme="minorHAnsi"/>
                <w:b/>
                <w:sz w:val="18"/>
                <w:szCs w:val="18"/>
              </w:rPr>
              <w:t>66% less</w:t>
            </w:r>
            <w:r w:rsidR="002519B4" w:rsidRPr="00A72071">
              <w:rPr>
                <w:rFonts w:cstheme="minorHAnsi"/>
                <w:b/>
                <w:sz w:val="18"/>
                <w:szCs w:val="18"/>
              </w:rPr>
              <w:t xml:space="preserve"> VRE </w:t>
            </w:r>
            <w:r w:rsidR="002C5963" w:rsidRPr="00A72071">
              <w:rPr>
                <w:rFonts w:cstheme="minorHAnsi"/>
                <w:b/>
                <w:sz w:val="18"/>
                <w:szCs w:val="18"/>
              </w:rPr>
              <w:t>BSI</w:t>
            </w:r>
          </w:p>
          <w:p w14:paraId="4DCC3607" w14:textId="77777777" w:rsidR="002C5963" w:rsidRPr="00A72071" w:rsidRDefault="00F868C7" w:rsidP="006208A0">
            <w:pPr>
              <w:spacing w:after="120" w:line="240" w:lineRule="auto"/>
              <w:rPr>
                <w:rFonts w:cstheme="minorHAnsi"/>
                <w:b/>
                <w:sz w:val="18"/>
                <w:szCs w:val="18"/>
              </w:rPr>
            </w:pPr>
            <w:r w:rsidRPr="00A72071">
              <w:rPr>
                <w:rFonts w:cstheme="minorHAnsi"/>
                <w:b/>
                <w:sz w:val="18"/>
                <w:szCs w:val="18"/>
              </w:rPr>
              <w:t>32% less MRSA acquisition</w:t>
            </w:r>
          </w:p>
          <w:p w14:paraId="56FE4C56" w14:textId="1B3B02B2" w:rsidR="00F868C7" w:rsidRPr="00A72071" w:rsidRDefault="00C71DC9" w:rsidP="006208A0">
            <w:pPr>
              <w:spacing w:after="120" w:line="240" w:lineRule="auto"/>
              <w:rPr>
                <w:rFonts w:cstheme="minorHAnsi"/>
                <w:b/>
                <w:sz w:val="18"/>
                <w:szCs w:val="18"/>
              </w:rPr>
            </w:pPr>
            <w:r w:rsidRPr="00A72071">
              <w:rPr>
                <w:rFonts w:cstheme="minorHAnsi"/>
                <w:b/>
                <w:sz w:val="18"/>
                <w:szCs w:val="18"/>
              </w:rPr>
              <w:t>50% less VRE acquis</w:t>
            </w:r>
            <w:r w:rsidR="00512E91" w:rsidRPr="00A72071">
              <w:rPr>
                <w:rFonts w:cstheme="minorHAnsi"/>
                <w:b/>
                <w:sz w:val="18"/>
                <w:szCs w:val="18"/>
              </w:rPr>
              <w:t>i</w:t>
            </w:r>
            <w:r w:rsidRPr="00A72071">
              <w:rPr>
                <w:rFonts w:cstheme="minorHAnsi"/>
                <w:b/>
                <w:sz w:val="18"/>
                <w:szCs w:val="18"/>
              </w:rPr>
              <w:t>tion</w:t>
            </w:r>
          </w:p>
        </w:tc>
        <w:tc>
          <w:tcPr>
            <w:tcW w:w="1656" w:type="dxa"/>
          </w:tcPr>
          <w:p w14:paraId="74C356FB" w14:textId="0DC658AD" w:rsidR="00C430F9" w:rsidRPr="00A72071" w:rsidRDefault="0008341C" w:rsidP="006208A0">
            <w:pPr>
              <w:spacing w:after="120" w:line="240" w:lineRule="auto"/>
              <w:rPr>
                <w:rFonts w:cstheme="minorHAnsi"/>
                <w:sz w:val="18"/>
                <w:szCs w:val="18"/>
              </w:rPr>
            </w:pPr>
            <w:r w:rsidRPr="00A72071">
              <w:rPr>
                <w:rFonts w:cstheme="minorHAnsi"/>
                <w:sz w:val="18"/>
                <w:szCs w:val="18"/>
              </w:rPr>
              <w:t>Crit Care Med</w:t>
            </w:r>
            <w:r w:rsidR="000E239C" w:rsidRPr="00A72071">
              <w:rPr>
                <w:rFonts w:cstheme="minorHAnsi"/>
                <w:sz w:val="18"/>
                <w:szCs w:val="18"/>
              </w:rPr>
              <w:t xml:space="preserve"> 2009, 37:1858-65</w:t>
            </w:r>
          </w:p>
        </w:tc>
      </w:tr>
      <w:tr w:rsidR="00E648DC" w:rsidRPr="00A72071" w14:paraId="7CE8B2D1" w14:textId="77777777" w:rsidTr="00A10EE9">
        <w:trPr>
          <w:trHeight w:val="20"/>
          <w:jc w:val="center"/>
        </w:trPr>
        <w:tc>
          <w:tcPr>
            <w:tcW w:w="0" w:type="auto"/>
          </w:tcPr>
          <w:p w14:paraId="0BF16A94" w14:textId="069F63F5" w:rsidR="00C430F9" w:rsidRPr="00A72071" w:rsidRDefault="00A270DE" w:rsidP="006208A0">
            <w:pPr>
              <w:spacing w:after="120" w:line="240" w:lineRule="auto"/>
              <w:rPr>
                <w:rFonts w:cstheme="minorHAnsi"/>
                <w:sz w:val="18"/>
                <w:szCs w:val="18"/>
                <w:vertAlign w:val="superscript"/>
              </w:rPr>
            </w:pPr>
            <w:r w:rsidRPr="00A72071">
              <w:rPr>
                <w:rFonts w:cstheme="minorHAnsi"/>
                <w:sz w:val="18"/>
                <w:szCs w:val="18"/>
              </w:rPr>
              <w:t>Bleasdale</w:t>
            </w:r>
            <w:r w:rsidRPr="00A72071">
              <w:rPr>
                <w:rFonts w:cstheme="minorHAnsi"/>
                <w:sz w:val="18"/>
                <w:szCs w:val="18"/>
                <w:vertAlign w:val="superscript"/>
              </w:rPr>
              <w:t>3</w:t>
            </w:r>
          </w:p>
        </w:tc>
        <w:tc>
          <w:tcPr>
            <w:tcW w:w="1008" w:type="dxa"/>
          </w:tcPr>
          <w:p w14:paraId="47925B13" w14:textId="210BF564" w:rsidR="00C430F9" w:rsidRPr="00A72071" w:rsidRDefault="00E648DC" w:rsidP="006208A0">
            <w:pPr>
              <w:spacing w:after="120" w:line="240" w:lineRule="auto"/>
              <w:rPr>
                <w:rFonts w:cstheme="minorHAnsi"/>
                <w:sz w:val="18"/>
                <w:szCs w:val="18"/>
              </w:rPr>
            </w:pPr>
            <w:r>
              <w:rPr>
                <w:rFonts w:cstheme="minorHAnsi"/>
                <w:sz w:val="18"/>
                <w:szCs w:val="18"/>
              </w:rPr>
              <w:t xml:space="preserve">Dec </w:t>
            </w:r>
            <w:r w:rsidR="00E2420B">
              <w:rPr>
                <w:rFonts w:cstheme="minorHAnsi"/>
                <w:sz w:val="18"/>
                <w:szCs w:val="18"/>
              </w:rPr>
              <w:t>200</w:t>
            </w:r>
            <w:r w:rsidR="00533AF2" w:rsidRPr="00A72071">
              <w:rPr>
                <w:rFonts w:cstheme="minorHAnsi"/>
                <w:sz w:val="18"/>
                <w:szCs w:val="18"/>
              </w:rPr>
              <w:t>5</w:t>
            </w:r>
            <w:r w:rsidR="00BD6A36">
              <w:rPr>
                <w:rFonts w:cstheme="minorHAnsi"/>
                <w:sz w:val="18"/>
                <w:szCs w:val="18"/>
              </w:rPr>
              <w:t>–</w:t>
            </w:r>
            <w:r>
              <w:rPr>
                <w:rFonts w:cstheme="minorHAnsi"/>
                <w:sz w:val="18"/>
                <w:szCs w:val="18"/>
              </w:rPr>
              <w:t xml:space="preserve">Jun </w:t>
            </w:r>
            <w:r w:rsidR="00E2420B">
              <w:rPr>
                <w:rFonts w:cstheme="minorHAnsi"/>
                <w:sz w:val="18"/>
                <w:szCs w:val="18"/>
              </w:rPr>
              <w:t>20</w:t>
            </w:r>
            <w:r w:rsidR="00D37013" w:rsidRPr="00A72071">
              <w:rPr>
                <w:rFonts w:cstheme="minorHAnsi"/>
                <w:sz w:val="18"/>
                <w:szCs w:val="18"/>
              </w:rPr>
              <w:t>06</w:t>
            </w:r>
          </w:p>
        </w:tc>
        <w:tc>
          <w:tcPr>
            <w:tcW w:w="659" w:type="dxa"/>
          </w:tcPr>
          <w:p w14:paraId="54BCC14A" w14:textId="379FD8A0" w:rsidR="00C430F9" w:rsidRPr="00A72071" w:rsidRDefault="004B3CE8" w:rsidP="006208A0">
            <w:pPr>
              <w:spacing w:after="120" w:line="240" w:lineRule="auto"/>
              <w:jc w:val="center"/>
              <w:rPr>
                <w:rFonts w:cstheme="minorHAnsi"/>
                <w:sz w:val="18"/>
                <w:szCs w:val="18"/>
              </w:rPr>
            </w:pPr>
            <w:proofErr w:type="spellStart"/>
            <w:r w:rsidRPr="00A72071">
              <w:rPr>
                <w:rFonts w:cstheme="minorHAnsi"/>
                <w:sz w:val="18"/>
                <w:szCs w:val="18"/>
              </w:rPr>
              <w:t>Obs</w:t>
            </w:r>
            <w:proofErr w:type="spellEnd"/>
          </w:p>
        </w:tc>
        <w:tc>
          <w:tcPr>
            <w:tcW w:w="0" w:type="auto"/>
          </w:tcPr>
          <w:p w14:paraId="68502878" w14:textId="1803FB27" w:rsidR="00C430F9" w:rsidRPr="00A72071" w:rsidRDefault="003C7DBA" w:rsidP="006208A0">
            <w:pPr>
              <w:spacing w:after="120" w:line="240" w:lineRule="auto"/>
              <w:jc w:val="center"/>
              <w:rPr>
                <w:rFonts w:cstheme="minorHAnsi"/>
                <w:sz w:val="18"/>
                <w:szCs w:val="18"/>
              </w:rPr>
            </w:pPr>
            <w:r w:rsidRPr="00A72071">
              <w:rPr>
                <w:rFonts w:cstheme="minorHAnsi"/>
                <w:sz w:val="18"/>
                <w:szCs w:val="18"/>
              </w:rPr>
              <w:t>1</w:t>
            </w:r>
          </w:p>
        </w:tc>
        <w:tc>
          <w:tcPr>
            <w:tcW w:w="576" w:type="dxa"/>
          </w:tcPr>
          <w:p w14:paraId="662D75B5" w14:textId="3BE1D166" w:rsidR="00C430F9" w:rsidRPr="00A72071" w:rsidRDefault="003C7DBA" w:rsidP="006208A0">
            <w:pPr>
              <w:spacing w:after="120" w:line="240" w:lineRule="auto"/>
              <w:jc w:val="center"/>
              <w:rPr>
                <w:rFonts w:cstheme="minorHAnsi"/>
                <w:sz w:val="18"/>
                <w:szCs w:val="18"/>
              </w:rPr>
            </w:pPr>
            <w:r w:rsidRPr="00A72071">
              <w:rPr>
                <w:rFonts w:cstheme="minorHAnsi"/>
                <w:sz w:val="18"/>
                <w:szCs w:val="18"/>
              </w:rPr>
              <w:t>2</w:t>
            </w:r>
            <w:r w:rsidR="00B81C8D">
              <w:rPr>
                <w:rFonts w:cstheme="minorHAnsi"/>
                <w:sz w:val="18"/>
                <w:szCs w:val="18"/>
              </w:rPr>
              <w:t xml:space="preserve"> </w:t>
            </w:r>
            <w:r w:rsidR="002115E1" w:rsidRPr="00A72071">
              <w:rPr>
                <w:rFonts w:cstheme="minorHAnsi"/>
                <w:sz w:val="18"/>
                <w:szCs w:val="18"/>
              </w:rPr>
              <w:t>(ICU)</w:t>
            </w:r>
          </w:p>
        </w:tc>
        <w:tc>
          <w:tcPr>
            <w:tcW w:w="737" w:type="dxa"/>
          </w:tcPr>
          <w:p w14:paraId="79099317" w14:textId="2302B2B2" w:rsidR="00C430F9" w:rsidRPr="00A72071" w:rsidRDefault="00D233D6" w:rsidP="006208A0">
            <w:pPr>
              <w:spacing w:after="120" w:line="240" w:lineRule="auto"/>
              <w:jc w:val="center"/>
              <w:rPr>
                <w:rFonts w:cstheme="minorHAnsi"/>
                <w:sz w:val="18"/>
                <w:szCs w:val="18"/>
              </w:rPr>
            </w:pPr>
            <w:r w:rsidRPr="00A72071">
              <w:rPr>
                <w:rFonts w:cstheme="minorHAnsi"/>
                <w:sz w:val="18"/>
                <w:szCs w:val="18"/>
              </w:rPr>
              <w:t>836</w:t>
            </w:r>
          </w:p>
        </w:tc>
        <w:tc>
          <w:tcPr>
            <w:tcW w:w="0" w:type="auto"/>
          </w:tcPr>
          <w:p w14:paraId="7F5CE099" w14:textId="347C1DD0" w:rsidR="00C430F9" w:rsidRPr="00A72071" w:rsidRDefault="00FF40EF" w:rsidP="006208A0">
            <w:pPr>
              <w:spacing w:after="120" w:line="240" w:lineRule="auto"/>
              <w:rPr>
                <w:rFonts w:cstheme="minorHAnsi"/>
                <w:b/>
                <w:sz w:val="18"/>
                <w:szCs w:val="18"/>
              </w:rPr>
            </w:pPr>
            <w:r w:rsidRPr="00A72071">
              <w:rPr>
                <w:rFonts w:cstheme="minorHAnsi"/>
                <w:b/>
                <w:sz w:val="18"/>
                <w:szCs w:val="18"/>
              </w:rPr>
              <w:t>61</w:t>
            </w:r>
            <w:r w:rsidR="00CC7F8A">
              <w:rPr>
                <w:rFonts w:cstheme="minorHAnsi"/>
                <w:b/>
                <w:sz w:val="18"/>
                <w:szCs w:val="18"/>
              </w:rPr>
              <w:t>%</w:t>
            </w:r>
            <w:r w:rsidR="00624022" w:rsidRPr="00A72071">
              <w:rPr>
                <w:rFonts w:cstheme="minorHAnsi"/>
                <w:b/>
                <w:sz w:val="18"/>
                <w:szCs w:val="18"/>
              </w:rPr>
              <w:t xml:space="preserve"> less primary BSI</w:t>
            </w:r>
          </w:p>
        </w:tc>
        <w:tc>
          <w:tcPr>
            <w:tcW w:w="1656" w:type="dxa"/>
          </w:tcPr>
          <w:p w14:paraId="2921488B" w14:textId="0D449F85" w:rsidR="00C430F9" w:rsidRPr="00A72071" w:rsidRDefault="00676B69" w:rsidP="006208A0">
            <w:pPr>
              <w:spacing w:after="120" w:line="240" w:lineRule="auto"/>
              <w:rPr>
                <w:rFonts w:cstheme="minorHAnsi"/>
                <w:sz w:val="18"/>
                <w:szCs w:val="18"/>
              </w:rPr>
            </w:pPr>
            <w:r w:rsidRPr="00A72071">
              <w:rPr>
                <w:rFonts w:cstheme="minorHAnsi"/>
                <w:sz w:val="18"/>
                <w:szCs w:val="18"/>
              </w:rPr>
              <w:t>Arch Int Med 2007</w:t>
            </w:r>
            <w:r w:rsidR="002D73E6" w:rsidRPr="00A72071">
              <w:rPr>
                <w:rFonts w:cstheme="minorHAnsi"/>
                <w:sz w:val="18"/>
                <w:szCs w:val="18"/>
              </w:rPr>
              <w:t>; 167(19):</w:t>
            </w:r>
            <w:r w:rsidR="005600BE" w:rsidRPr="00A72071">
              <w:rPr>
                <w:rFonts w:cstheme="minorHAnsi"/>
                <w:sz w:val="18"/>
                <w:szCs w:val="18"/>
              </w:rPr>
              <w:t>2073-</w:t>
            </w:r>
            <w:r w:rsidR="00E47405" w:rsidRPr="00A72071">
              <w:rPr>
                <w:rFonts w:cstheme="minorHAnsi"/>
                <w:sz w:val="18"/>
                <w:szCs w:val="18"/>
              </w:rPr>
              <w:t>9</w:t>
            </w:r>
          </w:p>
        </w:tc>
      </w:tr>
      <w:tr w:rsidR="00E648DC" w:rsidRPr="00A72071" w14:paraId="1091DD38" w14:textId="77777777" w:rsidTr="00A10EE9">
        <w:trPr>
          <w:trHeight w:val="20"/>
          <w:jc w:val="center"/>
        </w:trPr>
        <w:tc>
          <w:tcPr>
            <w:tcW w:w="0" w:type="auto"/>
          </w:tcPr>
          <w:p w14:paraId="0620F038" w14:textId="2B784611" w:rsidR="00C430F9" w:rsidRPr="00A72071" w:rsidRDefault="00E47405" w:rsidP="006208A0">
            <w:pPr>
              <w:spacing w:after="120" w:line="240" w:lineRule="auto"/>
              <w:rPr>
                <w:rFonts w:cstheme="minorHAnsi"/>
                <w:sz w:val="18"/>
                <w:szCs w:val="18"/>
                <w:vertAlign w:val="superscript"/>
              </w:rPr>
            </w:pPr>
            <w:r w:rsidRPr="00A72071">
              <w:rPr>
                <w:rFonts w:cstheme="minorHAnsi"/>
                <w:sz w:val="18"/>
                <w:szCs w:val="18"/>
              </w:rPr>
              <w:t>Popovich</w:t>
            </w:r>
            <w:r w:rsidR="00F8521B" w:rsidRPr="00A72071">
              <w:rPr>
                <w:rFonts w:cstheme="minorHAnsi"/>
                <w:sz w:val="18"/>
                <w:szCs w:val="18"/>
                <w:vertAlign w:val="superscript"/>
              </w:rPr>
              <w:t>4</w:t>
            </w:r>
          </w:p>
        </w:tc>
        <w:tc>
          <w:tcPr>
            <w:tcW w:w="1008" w:type="dxa"/>
          </w:tcPr>
          <w:p w14:paraId="38AC4439" w14:textId="62D1B2FA" w:rsidR="00C430F9" w:rsidRPr="00A72071" w:rsidRDefault="00E648DC" w:rsidP="006208A0">
            <w:pPr>
              <w:spacing w:after="120" w:line="240" w:lineRule="auto"/>
              <w:rPr>
                <w:rFonts w:cstheme="minorHAnsi"/>
                <w:sz w:val="18"/>
                <w:szCs w:val="18"/>
              </w:rPr>
            </w:pPr>
            <w:r>
              <w:rPr>
                <w:rFonts w:cstheme="minorHAnsi"/>
                <w:sz w:val="18"/>
                <w:szCs w:val="18"/>
              </w:rPr>
              <w:t xml:space="preserve">Sep </w:t>
            </w:r>
            <w:r w:rsidR="00E2420B">
              <w:rPr>
                <w:rFonts w:cstheme="minorHAnsi"/>
                <w:sz w:val="18"/>
                <w:szCs w:val="18"/>
              </w:rPr>
              <w:t>20</w:t>
            </w:r>
            <w:r w:rsidR="005A43FE" w:rsidRPr="00A72071">
              <w:rPr>
                <w:rFonts w:cstheme="minorHAnsi"/>
                <w:sz w:val="18"/>
                <w:szCs w:val="18"/>
              </w:rPr>
              <w:t>04</w:t>
            </w:r>
            <w:r w:rsidR="00BD6A36">
              <w:rPr>
                <w:rFonts w:cstheme="minorHAnsi"/>
                <w:sz w:val="18"/>
                <w:szCs w:val="18"/>
              </w:rPr>
              <w:t>–</w:t>
            </w:r>
            <w:r>
              <w:rPr>
                <w:rFonts w:cstheme="minorHAnsi"/>
                <w:sz w:val="18"/>
                <w:szCs w:val="18"/>
              </w:rPr>
              <w:t xml:space="preserve">Oct </w:t>
            </w:r>
            <w:r w:rsidR="00E2420B">
              <w:rPr>
                <w:rFonts w:cstheme="minorHAnsi"/>
                <w:sz w:val="18"/>
                <w:szCs w:val="18"/>
              </w:rPr>
              <w:t>20</w:t>
            </w:r>
            <w:r w:rsidR="00A63420" w:rsidRPr="00A72071">
              <w:rPr>
                <w:rFonts w:cstheme="minorHAnsi"/>
                <w:sz w:val="18"/>
                <w:szCs w:val="18"/>
              </w:rPr>
              <w:t>06</w:t>
            </w:r>
          </w:p>
        </w:tc>
        <w:tc>
          <w:tcPr>
            <w:tcW w:w="659" w:type="dxa"/>
          </w:tcPr>
          <w:p w14:paraId="43C21B2B" w14:textId="1654870E" w:rsidR="00C430F9" w:rsidRPr="00A72071" w:rsidRDefault="00A30B94" w:rsidP="006208A0">
            <w:pPr>
              <w:spacing w:after="120" w:line="240" w:lineRule="auto"/>
              <w:jc w:val="center"/>
              <w:rPr>
                <w:rFonts w:cstheme="minorHAnsi"/>
                <w:sz w:val="18"/>
                <w:szCs w:val="18"/>
              </w:rPr>
            </w:pPr>
            <w:proofErr w:type="spellStart"/>
            <w:r w:rsidRPr="00A72071">
              <w:rPr>
                <w:rFonts w:cstheme="minorHAnsi"/>
                <w:sz w:val="18"/>
                <w:szCs w:val="18"/>
              </w:rPr>
              <w:t>Obs</w:t>
            </w:r>
            <w:proofErr w:type="spellEnd"/>
          </w:p>
        </w:tc>
        <w:tc>
          <w:tcPr>
            <w:tcW w:w="0" w:type="auto"/>
          </w:tcPr>
          <w:p w14:paraId="08992002" w14:textId="041A66AB" w:rsidR="00C430F9" w:rsidRPr="00A72071" w:rsidRDefault="003E5166" w:rsidP="006208A0">
            <w:pPr>
              <w:spacing w:after="120" w:line="240" w:lineRule="auto"/>
              <w:jc w:val="center"/>
              <w:rPr>
                <w:rFonts w:cstheme="minorHAnsi"/>
                <w:sz w:val="18"/>
                <w:szCs w:val="18"/>
              </w:rPr>
            </w:pPr>
            <w:r w:rsidRPr="00A72071">
              <w:rPr>
                <w:rFonts w:cstheme="minorHAnsi"/>
                <w:sz w:val="18"/>
                <w:szCs w:val="18"/>
              </w:rPr>
              <w:t>1</w:t>
            </w:r>
          </w:p>
        </w:tc>
        <w:tc>
          <w:tcPr>
            <w:tcW w:w="576" w:type="dxa"/>
          </w:tcPr>
          <w:p w14:paraId="756DA8F7" w14:textId="667601C4" w:rsidR="00C430F9" w:rsidRPr="00A72071" w:rsidRDefault="003E5166" w:rsidP="006208A0">
            <w:pPr>
              <w:spacing w:after="120" w:line="240" w:lineRule="auto"/>
              <w:jc w:val="center"/>
              <w:rPr>
                <w:rFonts w:cstheme="minorHAnsi"/>
                <w:sz w:val="18"/>
                <w:szCs w:val="18"/>
              </w:rPr>
            </w:pPr>
            <w:r w:rsidRPr="00A72071">
              <w:rPr>
                <w:rFonts w:cstheme="minorHAnsi"/>
                <w:sz w:val="18"/>
                <w:szCs w:val="18"/>
              </w:rPr>
              <w:t>1</w:t>
            </w:r>
            <w:r w:rsidR="00B81C8D">
              <w:rPr>
                <w:rFonts w:cstheme="minorHAnsi"/>
                <w:sz w:val="18"/>
                <w:szCs w:val="18"/>
              </w:rPr>
              <w:t xml:space="preserve"> </w:t>
            </w:r>
            <w:r w:rsidR="002115E1" w:rsidRPr="00A72071">
              <w:rPr>
                <w:rFonts w:cstheme="minorHAnsi"/>
                <w:sz w:val="18"/>
                <w:szCs w:val="18"/>
              </w:rPr>
              <w:t>(ICU)</w:t>
            </w:r>
          </w:p>
        </w:tc>
        <w:tc>
          <w:tcPr>
            <w:tcW w:w="737" w:type="dxa"/>
          </w:tcPr>
          <w:p w14:paraId="0AF80D6F" w14:textId="2CFBD641" w:rsidR="00C430F9" w:rsidRPr="00A72071" w:rsidRDefault="0005234F" w:rsidP="006208A0">
            <w:pPr>
              <w:spacing w:after="120" w:line="240" w:lineRule="auto"/>
              <w:jc w:val="center"/>
              <w:rPr>
                <w:rFonts w:cstheme="minorHAnsi"/>
                <w:sz w:val="18"/>
                <w:szCs w:val="18"/>
              </w:rPr>
            </w:pPr>
            <w:r w:rsidRPr="00A72071">
              <w:rPr>
                <w:rFonts w:cstheme="minorHAnsi"/>
                <w:sz w:val="18"/>
                <w:szCs w:val="18"/>
              </w:rPr>
              <w:t>3,816</w:t>
            </w:r>
          </w:p>
        </w:tc>
        <w:tc>
          <w:tcPr>
            <w:tcW w:w="0" w:type="auto"/>
          </w:tcPr>
          <w:p w14:paraId="022CE4D8" w14:textId="77777777" w:rsidR="00C430F9" w:rsidRPr="00A72071" w:rsidRDefault="007942E7" w:rsidP="006208A0">
            <w:pPr>
              <w:spacing w:after="120" w:line="240" w:lineRule="auto"/>
              <w:rPr>
                <w:rFonts w:cstheme="minorHAnsi"/>
                <w:b/>
                <w:sz w:val="18"/>
                <w:szCs w:val="18"/>
              </w:rPr>
            </w:pPr>
            <w:r w:rsidRPr="00A72071">
              <w:rPr>
                <w:rFonts w:cstheme="minorHAnsi"/>
                <w:b/>
                <w:sz w:val="18"/>
                <w:szCs w:val="18"/>
              </w:rPr>
              <w:t>87% less CLABSI</w:t>
            </w:r>
          </w:p>
          <w:p w14:paraId="69281EFB" w14:textId="6CD2E05B" w:rsidR="00E71F1A" w:rsidRPr="00A72071" w:rsidRDefault="00E71F1A" w:rsidP="006208A0">
            <w:pPr>
              <w:spacing w:after="120" w:line="240" w:lineRule="auto"/>
              <w:rPr>
                <w:rFonts w:cstheme="minorHAnsi"/>
                <w:b/>
                <w:sz w:val="18"/>
                <w:szCs w:val="18"/>
              </w:rPr>
            </w:pPr>
            <w:r w:rsidRPr="00A72071">
              <w:rPr>
                <w:rFonts w:cstheme="minorHAnsi"/>
                <w:b/>
                <w:sz w:val="18"/>
                <w:szCs w:val="18"/>
              </w:rPr>
              <w:t>41% less blood contaminants</w:t>
            </w:r>
          </w:p>
        </w:tc>
        <w:tc>
          <w:tcPr>
            <w:tcW w:w="1656" w:type="dxa"/>
          </w:tcPr>
          <w:p w14:paraId="43398436" w14:textId="2ADA2E27" w:rsidR="00C430F9" w:rsidRPr="00A72071" w:rsidRDefault="00101747" w:rsidP="006208A0">
            <w:pPr>
              <w:spacing w:after="120" w:line="240" w:lineRule="auto"/>
              <w:rPr>
                <w:rFonts w:cstheme="minorHAnsi"/>
                <w:sz w:val="18"/>
                <w:szCs w:val="18"/>
              </w:rPr>
            </w:pPr>
            <w:r w:rsidRPr="00A72071">
              <w:rPr>
                <w:rFonts w:cstheme="minorHAnsi"/>
                <w:sz w:val="18"/>
                <w:szCs w:val="18"/>
              </w:rPr>
              <w:t>ICHE 2009; 30(10)</w:t>
            </w:r>
            <w:r w:rsidR="005E00EA" w:rsidRPr="00A72071">
              <w:rPr>
                <w:rFonts w:cstheme="minorHAnsi"/>
                <w:sz w:val="18"/>
                <w:szCs w:val="18"/>
              </w:rPr>
              <w:t>:</w:t>
            </w:r>
            <w:r w:rsidR="002428F6" w:rsidRPr="00A72071">
              <w:rPr>
                <w:rFonts w:cstheme="minorHAnsi"/>
                <w:sz w:val="18"/>
                <w:szCs w:val="18"/>
              </w:rPr>
              <w:t>959-63</w:t>
            </w:r>
          </w:p>
        </w:tc>
      </w:tr>
      <w:tr w:rsidR="00E648DC" w:rsidRPr="00A72071" w14:paraId="7DEDFA95" w14:textId="77777777" w:rsidTr="00A10EE9">
        <w:trPr>
          <w:trHeight w:val="20"/>
          <w:jc w:val="center"/>
        </w:trPr>
        <w:tc>
          <w:tcPr>
            <w:tcW w:w="0" w:type="auto"/>
          </w:tcPr>
          <w:p w14:paraId="46E05967" w14:textId="3A2E97CF" w:rsidR="00C430F9" w:rsidRPr="00A72071" w:rsidRDefault="002428F6" w:rsidP="006208A0">
            <w:pPr>
              <w:spacing w:after="120" w:line="240" w:lineRule="auto"/>
              <w:rPr>
                <w:rFonts w:cstheme="minorHAnsi"/>
                <w:sz w:val="18"/>
                <w:szCs w:val="18"/>
                <w:vertAlign w:val="superscript"/>
              </w:rPr>
            </w:pPr>
            <w:r w:rsidRPr="00A72071">
              <w:rPr>
                <w:rFonts w:cstheme="minorHAnsi"/>
                <w:sz w:val="18"/>
                <w:szCs w:val="18"/>
              </w:rPr>
              <w:t>Climo</w:t>
            </w:r>
            <w:r w:rsidR="003026D4" w:rsidRPr="00A72071">
              <w:rPr>
                <w:rFonts w:cstheme="minorHAnsi"/>
                <w:sz w:val="18"/>
                <w:szCs w:val="18"/>
                <w:vertAlign w:val="superscript"/>
              </w:rPr>
              <w:t>5</w:t>
            </w:r>
          </w:p>
        </w:tc>
        <w:tc>
          <w:tcPr>
            <w:tcW w:w="1008" w:type="dxa"/>
          </w:tcPr>
          <w:p w14:paraId="27D296C4" w14:textId="21CBFCC2" w:rsidR="00C430F9" w:rsidRPr="00A72071" w:rsidRDefault="00E648DC" w:rsidP="006208A0">
            <w:pPr>
              <w:spacing w:after="120" w:line="240" w:lineRule="auto"/>
              <w:rPr>
                <w:rFonts w:cstheme="minorHAnsi"/>
                <w:sz w:val="18"/>
                <w:szCs w:val="18"/>
              </w:rPr>
            </w:pPr>
            <w:r>
              <w:rPr>
                <w:rFonts w:cstheme="minorHAnsi"/>
                <w:sz w:val="18"/>
                <w:szCs w:val="18"/>
              </w:rPr>
              <w:t xml:space="preserve">Aug </w:t>
            </w:r>
            <w:r w:rsidR="00E2420B">
              <w:rPr>
                <w:rFonts w:cstheme="minorHAnsi"/>
                <w:sz w:val="18"/>
                <w:szCs w:val="18"/>
              </w:rPr>
              <w:t>20</w:t>
            </w:r>
            <w:r w:rsidR="00760E55" w:rsidRPr="00A72071">
              <w:rPr>
                <w:rFonts w:cstheme="minorHAnsi"/>
                <w:sz w:val="18"/>
                <w:szCs w:val="18"/>
              </w:rPr>
              <w:t>07</w:t>
            </w:r>
            <w:r w:rsidR="00BD6A36">
              <w:rPr>
                <w:rFonts w:cstheme="minorHAnsi"/>
                <w:sz w:val="18"/>
                <w:szCs w:val="18"/>
              </w:rPr>
              <w:t>–</w:t>
            </w:r>
            <w:r>
              <w:rPr>
                <w:rFonts w:cstheme="minorHAnsi"/>
                <w:sz w:val="18"/>
                <w:szCs w:val="18"/>
              </w:rPr>
              <w:t xml:space="preserve">Feb </w:t>
            </w:r>
            <w:r w:rsidR="00E2420B">
              <w:rPr>
                <w:rFonts w:cstheme="minorHAnsi"/>
                <w:sz w:val="18"/>
                <w:szCs w:val="18"/>
              </w:rPr>
              <w:t>20</w:t>
            </w:r>
            <w:r w:rsidR="00C66DE4" w:rsidRPr="00A72071">
              <w:rPr>
                <w:rFonts w:cstheme="minorHAnsi"/>
                <w:sz w:val="18"/>
                <w:szCs w:val="18"/>
              </w:rPr>
              <w:t>09</w:t>
            </w:r>
          </w:p>
        </w:tc>
        <w:tc>
          <w:tcPr>
            <w:tcW w:w="659" w:type="dxa"/>
          </w:tcPr>
          <w:p w14:paraId="54EEA894" w14:textId="78ED7C4D" w:rsidR="00C430F9" w:rsidRPr="00A72071" w:rsidRDefault="00302DE6" w:rsidP="006208A0">
            <w:pPr>
              <w:spacing w:after="120" w:line="240" w:lineRule="auto"/>
              <w:jc w:val="center"/>
              <w:rPr>
                <w:rFonts w:cstheme="minorHAnsi"/>
                <w:sz w:val="18"/>
                <w:szCs w:val="18"/>
              </w:rPr>
            </w:pPr>
            <w:r w:rsidRPr="00A72071">
              <w:rPr>
                <w:rFonts w:cstheme="minorHAnsi"/>
                <w:sz w:val="18"/>
                <w:szCs w:val="18"/>
              </w:rPr>
              <w:t>Cluster RCT</w:t>
            </w:r>
          </w:p>
        </w:tc>
        <w:tc>
          <w:tcPr>
            <w:tcW w:w="0" w:type="auto"/>
          </w:tcPr>
          <w:p w14:paraId="62C62BA0" w14:textId="2DE4EBCD" w:rsidR="00C430F9" w:rsidRPr="00A72071" w:rsidRDefault="006D1BAF" w:rsidP="006208A0">
            <w:pPr>
              <w:spacing w:after="120" w:line="240" w:lineRule="auto"/>
              <w:jc w:val="center"/>
              <w:rPr>
                <w:rFonts w:cstheme="minorHAnsi"/>
                <w:sz w:val="18"/>
                <w:szCs w:val="18"/>
              </w:rPr>
            </w:pPr>
            <w:r w:rsidRPr="00A72071">
              <w:rPr>
                <w:rFonts w:cstheme="minorHAnsi"/>
                <w:sz w:val="18"/>
                <w:szCs w:val="18"/>
              </w:rPr>
              <w:t>6</w:t>
            </w:r>
          </w:p>
        </w:tc>
        <w:tc>
          <w:tcPr>
            <w:tcW w:w="576" w:type="dxa"/>
          </w:tcPr>
          <w:p w14:paraId="67848E9C" w14:textId="16DC44EC" w:rsidR="00C430F9" w:rsidRPr="00A72071" w:rsidRDefault="006D1BAF" w:rsidP="006208A0">
            <w:pPr>
              <w:spacing w:after="120" w:line="240" w:lineRule="auto"/>
              <w:jc w:val="center"/>
              <w:rPr>
                <w:rFonts w:cstheme="minorHAnsi"/>
                <w:sz w:val="18"/>
                <w:szCs w:val="18"/>
              </w:rPr>
            </w:pPr>
            <w:r w:rsidRPr="00A72071">
              <w:rPr>
                <w:rFonts w:cstheme="minorHAnsi"/>
                <w:sz w:val="18"/>
                <w:szCs w:val="18"/>
              </w:rPr>
              <w:t>9</w:t>
            </w:r>
            <w:r w:rsidR="00B81C8D">
              <w:rPr>
                <w:rFonts w:cstheme="minorHAnsi"/>
                <w:sz w:val="18"/>
                <w:szCs w:val="18"/>
              </w:rPr>
              <w:t xml:space="preserve"> </w:t>
            </w:r>
            <w:r w:rsidR="002115E1" w:rsidRPr="00A72071">
              <w:rPr>
                <w:rFonts w:cstheme="minorHAnsi"/>
                <w:sz w:val="18"/>
                <w:szCs w:val="18"/>
              </w:rPr>
              <w:t>(ICU)</w:t>
            </w:r>
          </w:p>
        </w:tc>
        <w:tc>
          <w:tcPr>
            <w:tcW w:w="737" w:type="dxa"/>
          </w:tcPr>
          <w:p w14:paraId="635FEFAE" w14:textId="723A1EE6" w:rsidR="00C430F9" w:rsidRPr="00A72071" w:rsidRDefault="00126574" w:rsidP="006208A0">
            <w:pPr>
              <w:spacing w:after="120" w:line="240" w:lineRule="auto"/>
              <w:jc w:val="center"/>
              <w:rPr>
                <w:rFonts w:cstheme="minorHAnsi"/>
                <w:sz w:val="18"/>
                <w:szCs w:val="18"/>
              </w:rPr>
            </w:pPr>
            <w:r w:rsidRPr="00A72071">
              <w:rPr>
                <w:rFonts w:cstheme="minorHAnsi"/>
                <w:sz w:val="18"/>
                <w:szCs w:val="18"/>
              </w:rPr>
              <w:t>7,727</w:t>
            </w:r>
          </w:p>
        </w:tc>
        <w:tc>
          <w:tcPr>
            <w:tcW w:w="0" w:type="auto"/>
          </w:tcPr>
          <w:p w14:paraId="727ACD76" w14:textId="165AB290" w:rsidR="00C430F9" w:rsidRPr="00A72071" w:rsidRDefault="00FD742B" w:rsidP="006208A0">
            <w:pPr>
              <w:spacing w:after="120" w:line="240" w:lineRule="auto"/>
              <w:rPr>
                <w:rFonts w:cstheme="minorHAnsi"/>
                <w:b/>
                <w:sz w:val="18"/>
                <w:szCs w:val="18"/>
              </w:rPr>
            </w:pPr>
            <w:r w:rsidRPr="00A72071">
              <w:rPr>
                <w:rFonts w:cstheme="minorHAnsi"/>
                <w:b/>
                <w:sz w:val="18"/>
                <w:szCs w:val="18"/>
              </w:rPr>
              <w:t>23% less MRSA/VRE acquisition</w:t>
            </w:r>
          </w:p>
        </w:tc>
        <w:tc>
          <w:tcPr>
            <w:tcW w:w="1656" w:type="dxa"/>
          </w:tcPr>
          <w:p w14:paraId="6C290D3E" w14:textId="67C53BE2" w:rsidR="00C430F9" w:rsidRPr="00A72071" w:rsidRDefault="00877083" w:rsidP="006208A0">
            <w:pPr>
              <w:spacing w:after="120" w:line="240" w:lineRule="auto"/>
              <w:rPr>
                <w:rFonts w:cstheme="minorHAnsi"/>
                <w:sz w:val="18"/>
                <w:szCs w:val="18"/>
              </w:rPr>
            </w:pPr>
            <w:r w:rsidRPr="00A72071">
              <w:rPr>
                <w:rFonts w:cstheme="minorHAnsi"/>
                <w:sz w:val="18"/>
                <w:szCs w:val="18"/>
              </w:rPr>
              <w:t>N Engl J Med 2013</w:t>
            </w:r>
            <w:r w:rsidR="00813124" w:rsidRPr="00A72071">
              <w:rPr>
                <w:rFonts w:cstheme="minorHAnsi"/>
                <w:sz w:val="18"/>
                <w:szCs w:val="18"/>
              </w:rPr>
              <w:t>; 368</w:t>
            </w:r>
            <w:r w:rsidR="00861C52" w:rsidRPr="00A72071">
              <w:rPr>
                <w:rFonts w:cstheme="minorHAnsi"/>
                <w:sz w:val="18"/>
                <w:szCs w:val="18"/>
              </w:rPr>
              <w:t>:</w:t>
            </w:r>
            <w:r w:rsidR="00737386" w:rsidRPr="00A72071">
              <w:rPr>
                <w:rFonts w:cstheme="minorHAnsi"/>
                <w:sz w:val="18"/>
                <w:szCs w:val="18"/>
              </w:rPr>
              <w:t>533-42</w:t>
            </w:r>
          </w:p>
        </w:tc>
      </w:tr>
      <w:tr w:rsidR="00E648DC" w:rsidRPr="00A72071" w14:paraId="28B7B738" w14:textId="77777777" w:rsidTr="00A10EE9">
        <w:trPr>
          <w:trHeight w:val="20"/>
          <w:jc w:val="center"/>
        </w:trPr>
        <w:tc>
          <w:tcPr>
            <w:tcW w:w="0" w:type="auto"/>
          </w:tcPr>
          <w:p w14:paraId="2DB31819" w14:textId="65303F4E" w:rsidR="00C430F9" w:rsidRPr="00A72071" w:rsidRDefault="00D920A8" w:rsidP="006208A0">
            <w:pPr>
              <w:spacing w:after="120" w:line="240" w:lineRule="auto"/>
              <w:rPr>
                <w:rFonts w:cstheme="minorHAnsi"/>
                <w:sz w:val="18"/>
                <w:szCs w:val="18"/>
                <w:vertAlign w:val="superscript"/>
              </w:rPr>
            </w:pPr>
            <w:r w:rsidRPr="00A72071">
              <w:rPr>
                <w:rFonts w:cstheme="minorHAnsi"/>
                <w:sz w:val="18"/>
                <w:szCs w:val="18"/>
              </w:rPr>
              <w:t>Milstone</w:t>
            </w:r>
            <w:r w:rsidR="002A6C31" w:rsidRPr="00A72071">
              <w:rPr>
                <w:rFonts w:cstheme="minorHAnsi"/>
                <w:sz w:val="18"/>
                <w:szCs w:val="18"/>
                <w:vertAlign w:val="superscript"/>
              </w:rPr>
              <w:t>6</w:t>
            </w:r>
          </w:p>
        </w:tc>
        <w:tc>
          <w:tcPr>
            <w:tcW w:w="1008" w:type="dxa"/>
          </w:tcPr>
          <w:p w14:paraId="4AB03532" w14:textId="29AC7372" w:rsidR="00C430F9" w:rsidRPr="00A72071" w:rsidRDefault="00E648DC" w:rsidP="006208A0">
            <w:pPr>
              <w:spacing w:after="120" w:line="240" w:lineRule="auto"/>
              <w:rPr>
                <w:rFonts w:cstheme="minorHAnsi"/>
                <w:sz w:val="18"/>
                <w:szCs w:val="18"/>
              </w:rPr>
            </w:pPr>
            <w:r>
              <w:rPr>
                <w:rFonts w:cstheme="minorHAnsi"/>
                <w:sz w:val="18"/>
                <w:szCs w:val="18"/>
              </w:rPr>
              <w:t xml:space="preserve">Feb </w:t>
            </w:r>
            <w:r w:rsidR="00E2420B">
              <w:rPr>
                <w:rFonts w:cstheme="minorHAnsi"/>
                <w:sz w:val="18"/>
                <w:szCs w:val="18"/>
              </w:rPr>
              <w:t>20</w:t>
            </w:r>
            <w:r w:rsidR="00357737" w:rsidRPr="00A72071">
              <w:rPr>
                <w:rFonts w:cstheme="minorHAnsi"/>
                <w:sz w:val="18"/>
                <w:szCs w:val="18"/>
              </w:rPr>
              <w:t>08</w:t>
            </w:r>
            <w:r w:rsidR="00BD6A36">
              <w:rPr>
                <w:rFonts w:cstheme="minorHAnsi"/>
                <w:sz w:val="18"/>
                <w:szCs w:val="18"/>
              </w:rPr>
              <w:t>–</w:t>
            </w:r>
            <w:r>
              <w:rPr>
                <w:rFonts w:cstheme="minorHAnsi"/>
                <w:sz w:val="18"/>
                <w:szCs w:val="18"/>
              </w:rPr>
              <w:t xml:space="preserve">Sep </w:t>
            </w:r>
            <w:r w:rsidR="00E2420B">
              <w:rPr>
                <w:rFonts w:cstheme="minorHAnsi"/>
                <w:sz w:val="18"/>
                <w:szCs w:val="18"/>
              </w:rPr>
              <w:t>20</w:t>
            </w:r>
            <w:r w:rsidR="00357737" w:rsidRPr="00A72071">
              <w:rPr>
                <w:rFonts w:cstheme="minorHAnsi"/>
                <w:sz w:val="18"/>
                <w:szCs w:val="18"/>
              </w:rPr>
              <w:t>10</w:t>
            </w:r>
          </w:p>
        </w:tc>
        <w:tc>
          <w:tcPr>
            <w:tcW w:w="659" w:type="dxa"/>
          </w:tcPr>
          <w:p w14:paraId="64F5AF41" w14:textId="6192876B" w:rsidR="00C430F9" w:rsidRPr="00A72071" w:rsidRDefault="00357737" w:rsidP="006208A0">
            <w:pPr>
              <w:spacing w:after="120" w:line="240" w:lineRule="auto"/>
              <w:jc w:val="center"/>
              <w:rPr>
                <w:rFonts w:cstheme="minorHAnsi"/>
                <w:sz w:val="18"/>
                <w:szCs w:val="18"/>
              </w:rPr>
            </w:pPr>
            <w:r w:rsidRPr="00A72071">
              <w:rPr>
                <w:rFonts w:cstheme="minorHAnsi"/>
                <w:sz w:val="18"/>
                <w:szCs w:val="18"/>
              </w:rPr>
              <w:t>Cluster RCT</w:t>
            </w:r>
          </w:p>
        </w:tc>
        <w:tc>
          <w:tcPr>
            <w:tcW w:w="0" w:type="auto"/>
          </w:tcPr>
          <w:p w14:paraId="405146A0" w14:textId="3A666B50" w:rsidR="00C430F9" w:rsidRPr="00A72071" w:rsidRDefault="00986F11" w:rsidP="006208A0">
            <w:pPr>
              <w:spacing w:after="120" w:line="240" w:lineRule="auto"/>
              <w:jc w:val="center"/>
              <w:rPr>
                <w:rFonts w:cstheme="minorHAnsi"/>
                <w:sz w:val="18"/>
                <w:szCs w:val="18"/>
              </w:rPr>
            </w:pPr>
            <w:r w:rsidRPr="00A72071">
              <w:rPr>
                <w:rFonts w:cstheme="minorHAnsi"/>
                <w:sz w:val="18"/>
                <w:szCs w:val="18"/>
              </w:rPr>
              <w:t>5</w:t>
            </w:r>
          </w:p>
        </w:tc>
        <w:tc>
          <w:tcPr>
            <w:tcW w:w="576" w:type="dxa"/>
          </w:tcPr>
          <w:p w14:paraId="090F4531" w14:textId="271B809B" w:rsidR="00C430F9" w:rsidRPr="00A72071" w:rsidRDefault="00986F11" w:rsidP="006208A0">
            <w:pPr>
              <w:spacing w:after="120" w:line="240" w:lineRule="auto"/>
              <w:jc w:val="center"/>
              <w:rPr>
                <w:rFonts w:cstheme="minorHAnsi"/>
                <w:sz w:val="18"/>
                <w:szCs w:val="18"/>
              </w:rPr>
            </w:pPr>
            <w:r w:rsidRPr="00A72071">
              <w:rPr>
                <w:rFonts w:cstheme="minorHAnsi"/>
                <w:sz w:val="18"/>
                <w:szCs w:val="18"/>
              </w:rPr>
              <w:t>10</w:t>
            </w:r>
            <w:r w:rsidR="00B81C8D">
              <w:rPr>
                <w:rFonts w:cstheme="minorHAnsi"/>
                <w:sz w:val="18"/>
                <w:szCs w:val="18"/>
              </w:rPr>
              <w:t xml:space="preserve"> </w:t>
            </w:r>
            <w:r w:rsidR="002115E1" w:rsidRPr="00A72071">
              <w:rPr>
                <w:rFonts w:cstheme="minorHAnsi"/>
                <w:sz w:val="18"/>
                <w:szCs w:val="18"/>
              </w:rPr>
              <w:t>(ICU)</w:t>
            </w:r>
          </w:p>
        </w:tc>
        <w:tc>
          <w:tcPr>
            <w:tcW w:w="737" w:type="dxa"/>
          </w:tcPr>
          <w:p w14:paraId="29DE0CD8" w14:textId="40D5C5D9" w:rsidR="00C430F9" w:rsidRPr="00A72071" w:rsidRDefault="00CA5E7F" w:rsidP="006208A0">
            <w:pPr>
              <w:spacing w:after="120" w:line="240" w:lineRule="auto"/>
              <w:jc w:val="center"/>
              <w:rPr>
                <w:rFonts w:cstheme="minorHAnsi"/>
                <w:sz w:val="18"/>
                <w:szCs w:val="18"/>
              </w:rPr>
            </w:pPr>
            <w:r w:rsidRPr="00A72071">
              <w:rPr>
                <w:rFonts w:cstheme="minorHAnsi"/>
                <w:sz w:val="18"/>
                <w:szCs w:val="18"/>
              </w:rPr>
              <w:t>4,9</w:t>
            </w:r>
            <w:r w:rsidR="003B57B7" w:rsidRPr="00A72071">
              <w:rPr>
                <w:rFonts w:cstheme="minorHAnsi"/>
                <w:sz w:val="18"/>
                <w:szCs w:val="18"/>
              </w:rPr>
              <w:t>47</w:t>
            </w:r>
          </w:p>
        </w:tc>
        <w:tc>
          <w:tcPr>
            <w:tcW w:w="0" w:type="auto"/>
          </w:tcPr>
          <w:p w14:paraId="469F7C1B" w14:textId="680DE7C9" w:rsidR="00C430F9" w:rsidRPr="00A72071" w:rsidRDefault="00F473AC" w:rsidP="006208A0">
            <w:pPr>
              <w:spacing w:after="120" w:line="240" w:lineRule="auto"/>
              <w:rPr>
                <w:rFonts w:cstheme="minorHAnsi"/>
                <w:b/>
                <w:sz w:val="18"/>
                <w:szCs w:val="18"/>
              </w:rPr>
            </w:pPr>
            <w:r w:rsidRPr="00A72071">
              <w:rPr>
                <w:rFonts w:cstheme="minorHAnsi"/>
                <w:b/>
                <w:sz w:val="18"/>
                <w:szCs w:val="18"/>
              </w:rPr>
              <w:t>36% total BSI (as treated)</w:t>
            </w:r>
          </w:p>
        </w:tc>
        <w:tc>
          <w:tcPr>
            <w:tcW w:w="1656" w:type="dxa"/>
          </w:tcPr>
          <w:p w14:paraId="6F68F624" w14:textId="09BB0909" w:rsidR="00C430F9" w:rsidRPr="00A72071" w:rsidRDefault="000A551E" w:rsidP="006208A0">
            <w:pPr>
              <w:spacing w:after="120" w:line="240" w:lineRule="auto"/>
              <w:rPr>
                <w:rFonts w:cstheme="minorHAnsi"/>
                <w:sz w:val="18"/>
                <w:szCs w:val="18"/>
              </w:rPr>
            </w:pPr>
            <w:r w:rsidRPr="00A72071">
              <w:rPr>
                <w:rFonts w:cstheme="minorHAnsi"/>
                <w:sz w:val="18"/>
                <w:szCs w:val="18"/>
              </w:rPr>
              <w:t>Lancet</w:t>
            </w:r>
            <w:r w:rsidR="00260AD9" w:rsidRPr="00A72071">
              <w:rPr>
                <w:rFonts w:cstheme="minorHAnsi"/>
                <w:sz w:val="18"/>
                <w:szCs w:val="18"/>
              </w:rPr>
              <w:t xml:space="preserve"> 2013;</w:t>
            </w:r>
            <w:r w:rsidR="000C6FD8" w:rsidRPr="00A72071">
              <w:rPr>
                <w:rFonts w:cstheme="minorHAnsi"/>
                <w:sz w:val="18"/>
                <w:szCs w:val="18"/>
              </w:rPr>
              <w:t xml:space="preserve"> 381(</w:t>
            </w:r>
            <w:r w:rsidR="00DC50E2" w:rsidRPr="00A72071">
              <w:rPr>
                <w:rFonts w:cstheme="minorHAnsi"/>
                <w:sz w:val="18"/>
                <w:szCs w:val="18"/>
              </w:rPr>
              <w:t>9872</w:t>
            </w:r>
            <w:r w:rsidR="00737386" w:rsidRPr="00A72071">
              <w:rPr>
                <w:rFonts w:cstheme="minorHAnsi"/>
                <w:sz w:val="18"/>
                <w:szCs w:val="18"/>
              </w:rPr>
              <w:t>):1099</w:t>
            </w:r>
            <w:r w:rsidR="00652838" w:rsidRPr="00A72071">
              <w:rPr>
                <w:rFonts w:cstheme="minorHAnsi"/>
                <w:sz w:val="18"/>
                <w:szCs w:val="18"/>
              </w:rPr>
              <w:t>-106</w:t>
            </w:r>
          </w:p>
        </w:tc>
      </w:tr>
      <w:tr w:rsidR="00E648DC" w:rsidRPr="00A72071" w14:paraId="7A444CD4" w14:textId="77777777" w:rsidTr="00A10EE9">
        <w:trPr>
          <w:trHeight w:val="20"/>
          <w:jc w:val="center"/>
        </w:trPr>
        <w:tc>
          <w:tcPr>
            <w:tcW w:w="0" w:type="auto"/>
          </w:tcPr>
          <w:p w14:paraId="05341B24" w14:textId="5DB4322A" w:rsidR="00652838" w:rsidRPr="00A72071" w:rsidRDefault="00652838" w:rsidP="006208A0">
            <w:pPr>
              <w:spacing w:after="120" w:line="240" w:lineRule="auto"/>
              <w:rPr>
                <w:rFonts w:cstheme="minorHAnsi"/>
                <w:sz w:val="18"/>
                <w:szCs w:val="18"/>
                <w:vertAlign w:val="superscript"/>
              </w:rPr>
            </w:pPr>
            <w:r w:rsidRPr="00A72071">
              <w:rPr>
                <w:rFonts w:cstheme="minorHAnsi"/>
                <w:sz w:val="18"/>
                <w:szCs w:val="18"/>
              </w:rPr>
              <w:t>Huang</w:t>
            </w:r>
            <w:r w:rsidR="00DE3E3D" w:rsidRPr="00A72071">
              <w:rPr>
                <w:rFonts w:cstheme="minorHAnsi"/>
                <w:sz w:val="18"/>
                <w:szCs w:val="18"/>
                <w:vertAlign w:val="superscript"/>
              </w:rPr>
              <w:t>7</w:t>
            </w:r>
          </w:p>
        </w:tc>
        <w:tc>
          <w:tcPr>
            <w:tcW w:w="1008" w:type="dxa"/>
          </w:tcPr>
          <w:p w14:paraId="3B01F857" w14:textId="57D5B581" w:rsidR="00652838" w:rsidRPr="00A72071" w:rsidRDefault="00E648DC" w:rsidP="006208A0">
            <w:pPr>
              <w:spacing w:after="120" w:line="240" w:lineRule="auto"/>
              <w:rPr>
                <w:rFonts w:cstheme="minorHAnsi"/>
                <w:sz w:val="18"/>
                <w:szCs w:val="18"/>
              </w:rPr>
            </w:pPr>
            <w:r>
              <w:rPr>
                <w:rFonts w:cstheme="minorHAnsi"/>
                <w:sz w:val="18"/>
                <w:szCs w:val="18"/>
              </w:rPr>
              <w:t xml:space="preserve">Jan </w:t>
            </w:r>
            <w:r w:rsidR="00E2420B">
              <w:rPr>
                <w:rFonts w:cstheme="minorHAnsi"/>
                <w:sz w:val="18"/>
                <w:szCs w:val="18"/>
              </w:rPr>
              <w:t>20</w:t>
            </w:r>
            <w:r w:rsidR="0076388C" w:rsidRPr="00A72071">
              <w:rPr>
                <w:rFonts w:cstheme="minorHAnsi"/>
                <w:sz w:val="18"/>
                <w:szCs w:val="18"/>
              </w:rPr>
              <w:t>09</w:t>
            </w:r>
            <w:r w:rsidR="00BD6A36">
              <w:rPr>
                <w:rFonts w:cstheme="minorHAnsi"/>
                <w:sz w:val="18"/>
                <w:szCs w:val="18"/>
              </w:rPr>
              <w:t>–</w:t>
            </w:r>
            <w:r>
              <w:rPr>
                <w:rFonts w:cstheme="minorHAnsi"/>
                <w:sz w:val="18"/>
                <w:szCs w:val="18"/>
              </w:rPr>
              <w:t xml:space="preserve">Sep </w:t>
            </w:r>
            <w:r w:rsidR="00E2420B">
              <w:rPr>
                <w:rFonts w:cstheme="minorHAnsi"/>
                <w:sz w:val="18"/>
                <w:szCs w:val="18"/>
              </w:rPr>
              <w:t>20</w:t>
            </w:r>
            <w:r w:rsidR="0076388C" w:rsidRPr="00A72071">
              <w:rPr>
                <w:rFonts w:cstheme="minorHAnsi"/>
                <w:sz w:val="18"/>
                <w:szCs w:val="18"/>
              </w:rPr>
              <w:t>11</w:t>
            </w:r>
          </w:p>
        </w:tc>
        <w:tc>
          <w:tcPr>
            <w:tcW w:w="659" w:type="dxa"/>
          </w:tcPr>
          <w:p w14:paraId="55A0E74A" w14:textId="4EF4B6FA" w:rsidR="00652838" w:rsidRPr="00A72071" w:rsidRDefault="0076388C" w:rsidP="006208A0">
            <w:pPr>
              <w:spacing w:after="120" w:line="240" w:lineRule="auto"/>
              <w:jc w:val="center"/>
              <w:rPr>
                <w:rFonts w:cstheme="minorHAnsi"/>
                <w:sz w:val="18"/>
                <w:szCs w:val="18"/>
              </w:rPr>
            </w:pPr>
            <w:r w:rsidRPr="00A72071">
              <w:rPr>
                <w:rFonts w:cstheme="minorHAnsi"/>
                <w:sz w:val="18"/>
                <w:szCs w:val="18"/>
              </w:rPr>
              <w:t xml:space="preserve">Cluster </w:t>
            </w:r>
            <w:r w:rsidR="001E6C63" w:rsidRPr="00A72071">
              <w:rPr>
                <w:rFonts w:cstheme="minorHAnsi"/>
                <w:sz w:val="18"/>
                <w:szCs w:val="18"/>
              </w:rPr>
              <w:t>RCT</w:t>
            </w:r>
          </w:p>
        </w:tc>
        <w:tc>
          <w:tcPr>
            <w:tcW w:w="0" w:type="auto"/>
          </w:tcPr>
          <w:p w14:paraId="18D5D8E1" w14:textId="402B9F20" w:rsidR="00652838" w:rsidRPr="00A72071" w:rsidRDefault="00A224F9" w:rsidP="006208A0">
            <w:pPr>
              <w:spacing w:after="120" w:line="240" w:lineRule="auto"/>
              <w:jc w:val="center"/>
              <w:rPr>
                <w:rFonts w:cstheme="minorHAnsi"/>
                <w:sz w:val="18"/>
                <w:szCs w:val="18"/>
              </w:rPr>
            </w:pPr>
            <w:r w:rsidRPr="00A72071">
              <w:rPr>
                <w:rFonts w:cstheme="minorHAnsi"/>
                <w:sz w:val="18"/>
                <w:szCs w:val="18"/>
              </w:rPr>
              <w:t>43</w:t>
            </w:r>
          </w:p>
        </w:tc>
        <w:tc>
          <w:tcPr>
            <w:tcW w:w="576" w:type="dxa"/>
          </w:tcPr>
          <w:p w14:paraId="5EEDDECB" w14:textId="456F85D4" w:rsidR="00652838" w:rsidRPr="00A72071" w:rsidRDefault="00A224F9" w:rsidP="006208A0">
            <w:pPr>
              <w:spacing w:after="120" w:line="240" w:lineRule="auto"/>
              <w:jc w:val="center"/>
              <w:rPr>
                <w:rFonts w:cstheme="minorHAnsi"/>
                <w:sz w:val="18"/>
                <w:szCs w:val="18"/>
              </w:rPr>
            </w:pPr>
            <w:r w:rsidRPr="00A72071">
              <w:rPr>
                <w:rFonts w:cstheme="minorHAnsi"/>
                <w:sz w:val="18"/>
                <w:szCs w:val="18"/>
              </w:rPr>
              <w:t>74</w:t>
            </w:r>
            <w:r w:rsidR="00B81C8D">
              <w:rPr>
                <w:rFonts w:cstheme="minorHAnsi"/>
                <w:sz w:val="18"/>
                <w:szCs w:val="18"/>
              </w:rPr>
              <w:t xml:space="preserve"> </w:t>
            </w:r>
            <w:r w:rsidR="002115E1" w:rsidRPr="00A72071">
              <w:rPr>
                <w:rFonts w:cstheme="minorHAnsi"/>
                <w:sz w:val="18"/>
                <w:szCs w:val="18"/>
              </w:rPr>
              <w:t>(ICU)</w:t>
            </w:r>
          </w:p>
        </w:tc>
        <w:tc>
          <w:tcPr>
            <w:tcW w:w="737" w:type="dxa"/>
          </w:tcPr>
          <w:p w14:paraId="6688EE48" w14:textId="552FCF1E" w:rsidR="00652838" w:rsidRPr="00A72071" w:rsidRDefault="00A224F9" w:rsidP="006208A0">
            <w:pPr>
              <w:spacing w:after="120" w:line="240" w:lineRule="auto"/>
              <w:jc w:val="center"/>
              <w:rPr>
                <w:rFonts w:cstheme="minorHAnsi"/>
                <w:sz w:val="18"/>
                <w:szCs w:val="18"/>
              </w:rPr>
            </w:pPr>
            <w:r w:rsidRPr="00A72071">
              <w:rPr>
                <w:rFonts w:cstheme="minorHAnsi"/>
                <w:sz w:val="18"/>
                <w:szCs w:val="18"/>
              </w:rPr>
              <w:t>122,646</w:t>
            </w:r>
          </w:p>
        </w:tc>
        <w:tc>
          <w:tcPr>
            <w:tcW w:w="0" w:type="auto"/>
          </w:tcPr>
          <w:p w14:paraId="0D769F7E" w14:textId="77777777" w:rsidR="00652838" w:rsidRPr="00A72071" w:rsidRDefault="00561875" w:rsidP="006208A0">
            <w:pPr>
              <w:spacing w:after="120" w:line="240" w:lineRule="auto"/>
              <w:rPr>
                <w:rFonts w:cstheme="minorHAnsi"/>
                <w:b/>
                <w:sz w:val="18"/>
                <w:szCs w:val="18"/>
              </w:rPr>
            </w:pPr>
            <w:r w:rsidRPr="00A72071">
              <w:rPr>
                <w:rFonts w:cstheme="minorHAnsi"/>
                <w:b/>
                <w:sz w:val="18"/>
                <w:szCs w:val="18"/>
              </w:rPr>
              <w:t>37% less MRSA clinical cultures</w:t>
            </w:r>
          </w:p>
          <w:p w14:paraId="2E2A2682" w14:textId="45F0C7F1" w:rsidR="00561875" w:rsidRPr="00A72071" w:rsidRDefault="00561875" w:rsidP="006208A0">
            <w:pPr>
              <w:spacing w:after="120" w:line="240" w:lineRule="auto"/>
              <w:rPr>
                <w:rFonts w:cstheme="minorHAnsi"/>
                <w:b/>
                <w:sz w:val="18"/>
                <w:szCs w:val="18"/>
              </w:rPr>
            </w:pPr>
            <w:r w:rsidRPr="00A72071">
              <w:rPr>
                <w:rFonts w:cstheme="minorHAnsi"/>
                <w:b/>
                <w:sz w:val="18"/>
                <w:szCs w:val="18"/>
              </w:rPr>
              <w:t>44% less all-cause BSI</w:t>
            </w:r>
          </w:p>
        </w:tc>
        <w:tc>
          <w:tcPr>
            <w:tcW w:w="1656" w:type="dxa"/>
          </w:tcPr>
          <w:p w14:paraId="221427B7" w14:textId="714E9DFD" w:rsidR="00652838" w:rsidRPr="00A72071" w:rsidRDefault="00561875" w:rsidP="006208A0">
            <w:pPr>
              <w:spacing w:after="120" w:line="240" w:lineRule="auto"/>
              <w:rPr>
                <w:rFonts w:cstheme="minorHAnsi"/>
                <w:sz w:val="18"/>
                <w:szCs w:val="18"/>
              </w:rPr>
            </w:pPr>
            <w:r w:rsidRPr="00A72071">
              <w:rPr>
                <w:rFonts w:cstheme="minorHAnsi"/>
                <w:sz w:val="18"/>
                <w:szCs w:val="18"/>
              </w:rPr>
              <w:t>N</w:t>
            </w:r>
            <w:r w:rsidR="005000CE" w:rsidRPr="00A72071">
              <w:rPr>
                <w:rFonts w:cstheme="minorHAnsi"/>
                <w:sz w:val="18"/>
                <w:szCs w:val="18"/>
              </w:rPr>
              <w:t xml:space="preserve"> Engl J Med 2013; 368:22</w:t>
            </w:r>
            <w:r w:rsidR="00B32868" w:rsidRPr="00A72071">
              <w:rPr>
                <w:rFonts w:cstheme="minorHAnsi"/>
                <w:sz w:val="18"/>
                <w:szCs w:val="18"/>
              </w:rPr>
              <w:t>55-65</w:t>
            </w:r>
          </w:p>
        </w:tc>
      </w:tr>
      <w:tr w:rsidR="00E648DC" w:rsidRPr="00A72071" w14:paraId="34B3B1D5" w14:textId="77777777" w:rsidTr="00A10EE9">
        <w:trPr>
          <w:trHeight w:val="20"/>
          <w:jc w:val="center"/>
        </w:trPr>
        <w:tc>
          <w:tcPr>
            <w:tcW w:w="0" w:type="auto"/>
          </w:tcPr>
          <w:p w14:paraId="2AFCA7CD" w14:textId="703396AE" w:rsidR="00C430F9" w:rsidRPr="00A72071" w:rsidRDefault="00AB5952" w:rsidP="006208A0">
            <w:pPr>
              <w:spacing w:after="120" w:line="240" w:lineRule="auto"/>
              <w:rPr>
                <w:rFonts w:cstheme="minorHAnsi"/>
                <w:sz w:val="18"/>
                <w:szCs w:val="18"/>
                <w:vertAlign w:val="superscript"/>
              </w:rPr>
            </w:pPr>
            <w:r w:rsidRPr="00A72071">
              <w:rPr>
                <w:rFonts w:cstheme="minorHAnsi"/>
                <w:sz w:val="18"/>
                <w:szCs w:val="18"/>
              </w:rPr>
              <w:t>Huang</w:t>
            </w:r>
            <w:r w:rsidR="009835BA" w:rsidRPr="00A72071">
              <w:rPr>
                <w:rFonts w:cstheme="minorHAnsi"/>
                <w:sz w:val="18"/>
                <w:szCs w:val="18"/>
                <w:vertAlign w:val="superscript"/>
              </w:rPr>
              <w:t>8</w:t>
            </w:r>
          </w:p>
        </w:tc>
        <w:tc>
          <w:tcPr>
            <w:tcW w:w="1008" w:type="dxa"/>
          </w:tcPr>
          <w:p w14:paraId="39BE2FC0" w14:textId="3CA0EE94" w:rsidR="00C430F9" w:rsidRPr="00A72071" w:rsidRDefault="00E648DC" w:rsidP="006208A0">
            <w:pPr>
              <w:spacing w:after="120" w:line="240" w:lineRule="auto"/>
              <w:rPr>
                <w:rFonts w:cstheme="minorHAnsi"/>
                <w:sz w:val="18"/>
                <w:szCs w:val="18"/>
              </w:rPr>
            </w:pPr>
            <w:r>
              <w:rPr>
                <w:rFonts w:cstheme="minorHAnsi"/>
                <w:sz w:val="18"/>
                <w:szCs w:val="18"/>
              </w:rPr>
              <w:t>Mar</w:t>
            </w:r>
            <w:r w:rsidR="00BD6A36">
              <w:rPr>
                <w:rFonts w:cstheme="minorHAnsi"/>
                <w:sz w:val="18"/>
                <w:szCs w:val="18"/>
              </w:rPr>
              <w:t xml:space="preserve"> </w:t>
            </w:r>
            <w:r w:rsidR="00E2420B">
              <w:rPr>
                <w:rFonts w:cstheme="minorHAnsi"/>
                <w:sz w:val="18"/>
                <w:szCs w:val="18"/>
              </w:rPr>
              <w:t>20</w:t>
            </w:r>
            <w:r w:rsidR="00171EFE" w:rsidRPr="00A72071">
              <w:rPr>
                <w:rFonts w:cstheme="minorHAnsi"/>
                <w:sz w:val="18"/>
                <w:szCs w:val="18"/>
              </w:rPr>
              <w:t>13</w:t>
            </w:r>
            <w:r w:rsidR="00BD6A36">
              <w:rPr>
                <w:rFonts w:cstheme="minorHAnsi"/>
                <w:sz w:val="18"/>
                <w:szCs w:val="18"/>
              </w:rPr>
              <w:t>–</w:t>
            </w:r>
            <w:r>
              <w:rPr>
                <w:rFonts w:cstheme="minorHAnsi"/>
                <w:sz w:val="18"/>
                <w:szCs w:val="18"/>
              </w:rPr>
              <w:t xml:space="preserve">Feb </w:t>
            </w:r>
            <w:r w:rsidR="00E2420B">
              <w:rPr>
                <w:rFonts w:cstheme="minorHAnsi"/>
                <w:sz w:val="18"/>
                <w:szCs w:val="18"/>
              </w:rPr>
              <w:t>20</w:t>
            </w:r>
            <w:r w:rsidR="00D51EC6" w:rsidRPr="00A72071">
              <w:rPr>
                <w:rFonts w:cstheme="minorHAnsi"/>
                <w:sz w:val="18"/>
                <w:szCs w:val="18"/>
              </w:rPr>
              <w:t>16</w:t>
            </w:r>
          </w:p>
        </w:tc>
        <w:tc>
          <w:tcPr>
            <w:tcW w:w="659" w:type="dxa"/>
          </w:tcPr>
          <w:p w14:paraId="503AAF24" w14:textId="1F3944AA" w:rsidR="00C430F9" w:rsidRPr="00A72071" w:rsidRDefault="00D51EC6" w:rsidP="006208A0">
            <w:pPr>
              <w:spacing w:after="120" w:line="240" w:lineRule="auto"/>
              <w:jc w:val="center"/>
              <w:rPr>
                <w:rFonts w:cstheme="minorHAnsi"/>
                <w:sz w:val="18"/>
                <w:szCs w:val="18"/>
              </w:rPr>
            </w:pPr>
            <w:r w:rsidRPr="00A72071">
              <w:rPr>
                <w:rFonts w:cstheme="minorHAnsi"/>
                <w:sz w:val="18"/>
                <w:szCs w:val="18"/>
              </w:rPr>
              <w:t>Cluster RCT</w:t>
            </w:r>
          </w:p>
        </w:tc>
        <w:tc>
          <w:tcPr>
            <w:tcW w:w="0" w:type="auto"/>
          </w:tcPr>
          <w:p w14:paraId="765DE279" w14:textId="2A7BE495" w:rsidR="00C430F9" w:rsidRPr="00A72071" w:rsidRDefault="00D51EC6" w:rsidP="006208A0">
            <w:pPr>
              <w:spacing w:after="120" w:line="240" w:lineRule="auto"/>
              <w:jc w:val="center"/>
              <w:rPr>
                <w:rFonts w:cstheme="minorHAnsi"/>
                <w:sz w:val="18"/>
                <w:szCs w:val="18"/>
              </w:rPr>
            </w:pPr>
            <w:r w:rsidRPr="00A72071">
              <w:rPr>
                <w:rFonts w:cstheme="minorHAnsi"/>
                <w:sz w:val="18"/>
                <w:szCs w:val="18"/>
              </w:rPr>
              <w:t>53</w:t>
            </w:r>
          </w:p>
        </w:tc>
        <w:tc>
          <w:tcPr>
            <w:tcW w:w="576" w:type="dxa"/>
          </w:tcPr>
          <w:p w14:paraId="0AC63977" w14:textId="29CE2B9C" w:rsidR="00C430F9" w:rsidRPr="00A72071" w:rsidRDefault="00D51EC6" w:rsidP="006208A0">
            <w:pPr>
              <w:spacing w:after="120" w:line="240" w:lineRule="auto"/>
              <w:jc w:val="center"/>
              <w:rPr>
                <w:rFonts w:cstheme="minorHAnsi"/>
                <w:sz w:val="18"/>
                <w:szCs w:val="18"/>
              </w:rPr>
            </w:pPr>
            <w:r w:rsidRPr="00A72071">
              <w:rPr>
                <w:rFonts w:cstheme="minorHAnsi"/>
                <w:sz w:val="18"/>
                <w:szCs w:val="18"/>
              </w:rPr>
              <w:t>194</w:t>
            </w:r>
            <w:r w:rsidR="00B81C8D">
              <w:rPr>
                <w:rFonts w:cstheme="minorHAnsi"/>
                <w:sz w:val="18"/>
                <w:szCs w:val="18"/>
              </w:rPr>
              <w:t xml:space="preserve"> </w:t>
            </w:r>
            <w:r w:rsidR="002115E1" w:rsidRPr="00A72071">
              <w:rPr>
                <w:rFonts w:cstheme="minorHAnsi"/>
                <w:sz w:val="18"/>
                <w:szCs w:val="18"/>
              </w:rPr>
              <w:t>(Non-ICU)</w:t>
            </w:r>
          </w:p>
        </w:tc>
        <w:tc>
          <w:tcPr>
            <w:tcW w:w="737" w:type="dxa"/>
          </w:tcPr>
          <w:p w14:paraId="7197474B" w14:textId="0CF2D055" w:rsidR="00C430F9" w:rsidRPr="00A72071" w:rsidRDefault="00573206" w:rsidP="006208A0">
            <w:pPr>
              <w:spacing w:after="120" w:line="240" w:lineRule="auto"/>
              <w:jc w:val="center"/>
              <w:rPr>
                <w:rFonts w:cstheme="minorHAnsi"/>
                <w:sz w:val="18"/>
                <w:szCs w:val="18"/>
              </w:rPr>
            </w:pPr>
            <w:r w:rsidRPr="00A72071">
              <w:rPr>
                <w:rFonts w:cstheme="minorHAnsi"/>
                <w:sz w:val="18"/>
                <w:szCs w:val="18"/>
              </w:rPr>
              <w:t>5</w:t>
            </w:r>
            <w:r w:rsidR="00493A6E" w:rsidRPr="00A72071">
              <w:rPr>
                <w:rFonts w:cstheme="minorHAnsi"/>
                <w:sz w:val="18"/>
                <w:szCs w:val="18"/>
              </w:rPr>
              <w:t>28</w:t>
            </w:r>
            <w:r w:rsidR="00385F93" w:rsidRPr="00A72071">
              <w:rPr>
                <w:rFonts w:cstheme="minorHAnsi"/>
                <w:sz w:val="18"/>
                <w:szCs w:val="18"/>
              </w:rPr>
              <w:t>,983</w:t>
            </w:r>
          </w:p>
        </w:tc>
        <w:tc>
          <w:tcPr>
            <w:tcW w:w="0" w:type="auto"/>
          </w:tcPr>
          <w:p w14:paraId="59F4DEAE" w14:textId="646C4E18" w:rsidR="00C430F9" w:rsidRPr="00A72071" w:rsidRDefault="005151D9" w:rsidP="006208A0">
            <w:pPr>
              <w:spacing w:after="120" w:line="240" w:lineRule="auto"/>
              <w:rPr>
                <w:rFonts w:cstheme="minorHAnsi"/>
                <w:b/>
                <w:sz w:val="18"/>
                <w:szCs w:val="18"/>
              </w:rPr>
            </w:pPr>
            <w:r w:rsidRPr="00A72071">
              <w:rPr>
                <w:rFonts w:cstheme="minorHAnsi"/>
                <w:b/>
                <w:sz w:val="18"/>
                <w:szCs w:val="18"/>
              </w:rPr>
              <w:t>General population</w:t>
            </w:r>
            <w:r w:rsidR="002E7CBB">
              <w:rPr>
                <w:rFonts w:cstheme="minorHAnsi"/>
                <w:b/>
                <w:sz w:val="18"/>
                <w:szCs w:val="18"/>
              </w:rPr>
              <w:t>:</w:t>
            </w:r>
            <w:r w:rsidRPr="00A72071">
              <w:rPr>
                <w:rFonts w:cstheme="minorHAnsi"/>
                <w:b/>
                <w:sz w:val="18"/>
                <w:szCs w:val="18"/>
              </w:rPr>
              <w:t xml:space="preserve"> </w:t>
            </w:r>
            <w:r w:rsidR="002E7CBB">
              <w:rPr>
                <w:rFonts w:cstheme="minorHAnsi"/>
                <w:b/>
                <w:sz w:val="18"/>
                <w:szCs w:val="18"/>
              </w:rPr>
              <w:t>N</w:t>
            </w:r>
            <w:r w:rsidRPr="00A72071">
              <w:rPr>
                <w:rFonts w:cstheme="minorHAnsi"/>
                <w:b/>
                <w:sz w:val="18"/>
                <w:szCs w:val="18"/>
              </w:rPr>
              <w:t>o difference</w:t>
            </w:r>
          </w:p>
          <w:p w14:paraId="539709DF" w14:textId="3ADB9CF8" w:rsidR="00B66E39" w:rsidRPr="00A72071" w:rsidRDefault="00EE1C66" w:rsidP="006208A0">
            <w:pPr>
              <w:spacing w:after="120" w:line="240" w:lineRule="auto"/>
              <w:rPr>
                <w:rFonts w:cstheme="minorHAnsi"/>
                <w:b/>
                <w:sz w:val="18"/>
                <w:szCs w:val="18"/>
              </w:rPr>
            </w:pPr>
            <w:r w:rsidRPr="00A72071">
              <w:rPr>
                <w:rFonts w:cstheme="minorHAnsi"/>
                <w:b/>
                <w:sz w:val="18"/>
                <w:szCs w:val="18"/>
              </w:rPr>
              <w:t>Patients w/medical devices</w:t>
            </w:r>
            <w:r w:rsidR="002E7CBB">
              <w:rPr>
                <w:rFonts w:cstheme="minorHAnsi"/>
                <w:b/>
                <w:sz w:val="18"/>
                <w:szCs w:val="18"/>
              </w:rPr>
              <w:t>:</w:t>
            </w:r>
            <w:r w:rsidR="007D6C9D" w:rsidRPr="00A72071">
              <w:rPr>
                <w:rFonts w:cstheme="minorHAnsi"/>
                <w:b/>
                <w:sz w:val="18"/>
                <w:szCs w:val="18"/>
              </w:rPr>
              <w:t xml:space="preserve"> </w:t>
            </w:r>
            <w:r w:rsidR="004F79BC" w:rsidRPr="00A72071">
              <w:rPr>
                <w:rFonts w:cstheme="minorHAnsi"/>
                <w:b/>
                <w:sz w:val="18"/>
                <w:szCs w:val="18"/>
              </w:rPr>
              <w:t>31%</w:t>
            </w:r>
            <w:r w:rsidR="00F85287" w:rsidRPr="00A72071">
              <w:rPr>
                <w:rFonts w:cstheme="minorHAnsi"/>
                <w:b/>
                <w:sz w:val="18"/>
                <w:szCs w:val="18"/>
              </w:rPr>
              <w:t xml:space="preserve"> </w:t>
            </w:r>
            <w:r w:rsidR="00627906" w:rsidRPr="00A72071">
              <w:rPr>
                <w:rFonts w:cstheme="minorHAnsi"/>
                <w:b/>
                <w:sz w:val="18"/>
                <w:szCs w:val="18"/>
              </w:rPr>
              <w:t>reduction in all-cause bacteremia</w:t>
            </w:r>
            <w:r w:rsidR="00B66E39" w:rsidRPr="00A72071">
              <w:rPr>
                <w:rFonts w:cstheme="minorHAnsi"/>
                <w:b/>
                <w:sz w:val="18"/>
                <w:szCs w:val="18"/>
              </w:rPr>
              <w:t xml:space="preserve"> </w:t>
            </w:r>
            <w:r w:rsidR="00061B71" w:rsidRPr="00A72071">
              <w:rPr>
                <w:rFonts w:cstheme="minorHAnsi"/>
                <w:b/>
                <w:sz w:val="18"/>
                <w:szCs w:val="18"/>
              </w:rPr>
              <w:t xml:space="preserve">and </w:t>
            </w:r>
            <w:r w:rsidR="00B66E39" w:rsidRPr="00A72071">
              <w:rPr>
                <w:rFonts w:cstheme="minorHAnsi"/>
                <w:b/>
                <w:sz w:val="18"/>
                <w:szCs w:val="18"/>
              </w:rPr>
              <w:t>37%</w:t>
            </w:r>
            <w:r w:rsidR="00941CA8" w:rsidRPr="00A72071">
              <w:rPr>
                <w:rFonts w:cstheme="minorHAnsi"/>
                <w:b/>
                <w:sz w:val="18"/>
                <w:szCs w:val="18"/>
              </w:rPr>
              <w:t xml:space="preserve"> </w:t>
            </w:r>
            <w:r w:rsidR="00CF402F" w:rsidRPr="00A72071">
              <w:rPr>
                <w:rFonts w:cstheme="minorHAnsi"/>
                <w:b/>
                <w:sz w:val="18"/>
                <w:szCs w:val="18"/>
              </w:rPr>
              <w:t>reduction in MRSA</w:t>
            </w:r>
            <w:r w:rsidR="00E86D75" w:rsidRPr="00A72071">
              <w:rPr>
                <w:rFonts w:cstheme="minorHAnsi"/>
                <w:b/>
                <w:sz w:val="18"/>
                <w:szCs w:val="18"/>
              </w:rPr>
              <w:t xml:space="preserve"> or VRE cli</w:t>
            </w:r>
            <w:r w:rsidR="00823D08" w:rsidRPr="00A72071">
              <w:rPr>
                <w:rFonts w:cstheme="minorHAnsi"/>
                <w:b/>
                <w:sz w:val="18"/>
                <w:szCs w:val="18"/>
              </w:rPr>
              <w:t>nical cultures</w:t>
            </w:r>
            <w:r w:rsidR="00061B71" w:rsidRPr="00A72071">
              <w:rPr>
                <w:rFonts w:cstheme="minorHAnsi"/>
                <w:b/>
                <w:sz w:val="18"/>
                <w:szCs w:val="18"/>
              </w:rPr>
              <w:t xml:space="preserve"> when compared to control</w:t>
            </w:r>
          </w:p>
        </w:tc>
        <w:tc>
          <w:tcPr>
            <w:tcW w:w="1656" w:type="dxa"/>
          </w:tcPr>
          <w:p w14:paraId="64629324" w14:textId="3E6D07A7" w:rsidR="00910BDE" w:rsidRPr="00A72071" w:rsidRDefault="008039DA" w:rsidP="006208A0">
            <w:pPr>
              <w:spacing w:after="120" w:line="240" w:lineRule="auto"/>
              <w:rPr>
                <w:rFonts w:cstheme="minorHAnsi"/>
                <w:sz w:val="18"/>
                <w:szCs w:val="18"/>
              </w:rPr>
            </w:pPr>
            <w:r w:rsidRPr="00A72071">
              <w:rPr>
                <w:rFonts w:cstheme="minorHAnsi"/>
                <w:sz w:val="18"/>
                <w:szCs w:val="18"/>
              </w:rPr>
              <w:t>Lancet</w:t>
            </w:r>
            <w:r w:rsidR="00AF05AB" w:rsidRPr="00A72071">
              <w:rPr>
                <w:rFonts w:cstheme="minorHAnsi"/>
                <w:sz w:val="18"/>
                <w:szCs w:val="18"/>
              </w:rPr>
              <w:t xml:space="preserve"> 2019</w:t>
            </w:r>
            <w:r w:rsidR="00E96996" w:rsidRPr="00A72071">
              <w:rPr>
                <w:rFonts w:cstheme="minorHAnsi"/>
                <w:sz w:val="18"/>
                <w:szCs w:val="18"/>
              </w:rPr>
              <w:t>;</w:t>
            </w:r>
            <w:r w:rsidR="00C15F41" w:rsidRPr="00A72071">
              <w:rPr>
                <w:rFonts w:cstheme="minorHAnsi"/>
                <w:sz w:val="18"/>
                <w:szCs w:val="18"/>
              </w:rPr>
              <w:t xml:space="preserve"> </w:t>
            </w:r>
            <w:r w:rsidR="005E1E84" w:rsidRPr="00A72071">
              <w:rPr>
                <w:rFonts w:cstheme="minorHAnsi"/>
                <w:sz w:val="18"/>
                <w:szCs w:val="18"/>
              </w:rPr>
              <w:t>393(</w:t>
            </w:r>
            <w:r w:rsidR="00654203" w:rsidRPr="00A72071">
              <w:rPr>
                <w:rFonts w:cstheme="minorHAnsi"/>
                <w:sz w:val="18"/>
                <w:szCs w:val="18"/>
              </w:rPr>
              <w:t>10177)</w:t>
            </w:r>
            <w:r w:rsidR="00294E89" w:rsidRPr="00A72071">
              <w:rPr>
                <w:rFonts w:cstheme="minorHAnsi"/>
                <w:sz w:val="18"/>
                <w:szCs w:val="18"/>
              </w:rPr>
              <w:t>:1205-</w:t>
            </w:r>
            <w:r w:rsidR="00C975C2" w:rsidRPr="00A72071">
              <w:rPr>
                <w:rFonts w:cstheme="minorHAnsi"/>
                <w:sz w:val="18"/>
                <w:szCs w:val="18"/>
              </w:rPr>
              <w:t>15</w:t>
            </w:r>
          </w:p>
        </w:tc>
      </w:tr>
    </w:tbl>
    <w:p w14:paraId="1F3B63D5" w14:textId="0DB059CF" w:rsidR="003156A6" w:rsidRPr="005207F2" w:rsidRDefault="004C315D" w:rsidP="00996B4E">
      <w:r>
        <w:lastRenderedPageBreak/>
        <w:t>Sharing</w:t>
      </w:r>
      <w:r w:rsidR="00F219BD">
        <w:t xml:space="preserve"> the</w:t>
      </w:r>
      <w:r w:rsidR="003156A6" w:rsidRPr="005207F2">
        <w:t xml:space="preserve"> evidence </w:t>
      </w:r>
      <w:r>
        <w:t>among staff and stakeholders helps to</w:t>
      </w:r>
      <w:r w:rsidR="00F219BD">
        <w:t xml:space="preserve"> </w:t>
      </w:r>
      <w:r w:rsidR="003156A6" w:rsidRPr="005207F2">
        <w:t xml:space="preserve">establish a </w:t>
      </w:r>
      <w:r>
        <w:t xml:space="preserve">shared </w:t>
      </w:r>
      <w:r w:rsidR="003156A6" w:rsidRPr="005207F2">
        <w:t xml:space="preserve">understanding </w:t>
      </w:r>
      <w:r w:rsidR="00F219BD" w:rsidRPr="00F219BD">
        <w:t xml:space="preserve">as </w:t>
      </w:r>
      <w:r w:rsidR="00173D40">
        <w:t>implementation</w:t>
      </w:r>
      <w:r>
        <w:t xml:space="preserve"> gets underway</w:t>
      </w:r>
      <w:r w:rsidR="00F219BD" w:rsidRPr="00F219BD">
        <w:t>.</w:t>
      </w:r>
    </w:p>
    <w:p w14:paraId="7ECB1479" w14:textId="77777777" w:rsidR="00996B4E" w:rsidRPr="005207F2" w:rsidRDefault="00996B4E" w:rsidP="00116E08">
      <w:pPr>
        <w:pStyle w:val="Heading2"/>
      </w:pPr>
      <w:r w:rsidRPr="005207F2">
        <w:t xml:space="preserve">Assess Your Unit’s Current MRSA Status </w:t>
      </w:r>
    </w:p>
    <w:p w14:paraId="49BE4F19" w14:textId="04ED8002" w:rsidR="00852236" w:rsidRDefault="00996B4E" w:rsidP="00C67D80">
      <w:r w:rsidRPr="005207F2">
        <w:t xml:space="preserve">In addition to reviewing the evidence, it </w:t>
      </w:r>
      <w:r w:rsidR="002B0B3B">
        <w:t>is</w:t>
      </w:r>
      <w:r w:rsidRPr="005207F2">
        <w:t xml:space="preserve"> useful to </w:t>
      </w:r>
      <w:proofErr w:type="gramStart"/>
      <w:r w:rsidR="002B0B3B">
        <w:t>conduct an assessment of</w:t>
      </w:r>
      <w:proofErr w:type="gramEnd"/>
      <w:r w:rsidRPr="005207F2">
        <w:t xml:space="preserve"> your unit’s current MRSA rates.</w:t>
      </w:r>
      <w:r w:rsidR="00852236">
        <w:t xml:space="preserve"> Th</w:t>
      </w:r>
      <w:r w:rsidR="00603CF3">
        <w:t>e</w:t>
      </w:r>
      <w:r w:rsidR="00852236">
        <w:t>s</w:t>
      </w:r>
      <w:r w:rsidR="00603CF3">
        <w:t>e</w:t>
      </w:r>
      <w:r w:rsidR="00852236">
        <w:t xml:space="preserve"> </w:t>
      </w:r>
      <w:r w:rsidR="003512A4">
        <w:t xml:space="preserve">data </w:t>
      </w:r>
      <w:r w:rsidR="00852236">
        <w:t xml:space="preserve">will </w:t>
      </w:r>
      <w:r w:rsidR="003512A4">
        <w:t>provide</w:t>
      </w:r>
      <w:r w:rsidR="00852236">
        <w:t xml:space="preserve"> a clearer </w:t>
      </w:r>
      <w:r w:rsidR="0053663A">
        <w:t xml:space="preserve">picture </w:t>
      </w:r>
      <w:r w:rsidR="00852236">
        <w:t xml:space="preserve">of your unit’s </w:t>
      </w:r>
      <w:r w:rsidR="003512A4">
        <w:t>baseline status</w:t>
      </w:r>
      <w:r w:rsidR="000D3EC5">
        <w:t xml:space="preserve"> to inform </w:t>
      </w:r>
      <w:r w:rsidR="003512A4">
        <w:t>your decision-making</w:t>
      </w:r>
      <w:r w:rsidR="00735E4E">
        <w:t xml:space="preserve"> </w:t>
      </w:r>
      <w:r w:rsidR="005A4E26">
        <w:t xml:space="preserve">and </w:t>
      </w:r>
      <w:r w:rsidR="000D3EC5">
        <w:t xml:space="preserve">help you </w:t>
      </w:r>
      <w:r w:rsidR="00735E4E">
        <w:t xml:space="preserve">set your </w:t>
      </w:r>
      <w:r w:rsidR="00107D6C">
        <w:t>targets</w:t>
      </w:r>
      <w:r w:rsidR="000D3EC5">
        <w:t xml:space="preserve"> and goals</w:t>
      </w:r>
      <w:r w:rsidR="00107D6C">
        <w:t>.</w:t>
      </w:r>
    </w:p>
    <w:p w14:paraId="74538B1C" w14:textId="53F49CFF" w:rsidR="00A07A16" w:rsidRDefault="00107D6C" w:rsidP="00C67D80">
      <w:r>
        <w:t xml:space="preserve">It’s important to share </w:t>
      </w:r>
      <w:r w:rsidR="00996B4E" w:rsidRPr="005207F2">
        <w:t xml:space="preserve">this </w:t>
      </w:r>
      <w:r>
        <w:t xml:space="preserve">baseline </w:t>
      </w:r>
      <w:r w:rsidR="00996B4E" w:rsidRPr="005207F2">
        <w:t>information to your team, staff,</w:t>
      </w:r>
      <w:r w:rsidR="006F5AC2">
        <w:t xml:space="preserve"> leadership,</w:t>
      </w:r>
      <w:r w:rsidR="00996B4E" w:rsidRPr="005207F2">
        <w:t xml:space="preserve"> and </w:t>
      </w:r>
      <w:r w:rsidR="006F5AC2">
        <w:t xml:space="preserve">other </w:t>
      </w:r>
      <w:r w:rsidR="00996B4E" w:rsidRPr="005207F2">
        <w:t>stakeholder</w:t>
      </w:r>
      <w:r w:rsidR="00CE3148">
        <w:t>s. I</w:t>
      </w:r>
      <w:r w:rsidR="00FB648C">
        <w:t xml:space="preserve">t helps to establish a </w:t>
      </w:r>
      <w:r w:rsidR="00AB0743" w:rsidRPr="00AB0743">
        <w:t xml:space="preserve">shared understanding of your unit’s current </w:t>
      </w:r>
      <w:r w:rsidR="00FB648C">
        <w:t xml:space="preserve">status </w:t>
      </w:r>
      <w:r w:rsidR="00AB0743" w:rsidRPr="00AB0743">
        <w:t xml:space="preserve">and </w:t>
      </w:r>
      <w:r w:rsidR="00FB648C">
        <w:t xml:space="preserve">the opportunities </w:t>
      </w:r>
      <w:r w:rsidR="00AB0743" w:rsidRPr="00AB0743">
        <w:t>for improvement</w:t>
      </w:r>
      <w:r w:rsidR="00AB0743">
        <w:t>.</w:t>
      </w:r>
    </w:p>
    <w:p w14:paraId="7A99B0BE" w14:textId="1A9C5341" w:rsidR="00996B4E" w:rsidRPr="005207F2" w:rsidRDefault="00996B4E" w:rsidP="00996B4E">
      <w:pPr>
        <w:rPr>
          <w:rFonts w:ascii="Calibri" w:hAnsi="Calibri" w:cs="Calibri"/>
        </w:rPr>
      </w:pPr>
      <w:r w:rsidRPr="005207F2">
        <w:rPr>
          <w:rFonts w:ascii="Calibri" w:hAnsi="Calibri" w:cs="Calibri"/>
        </w:rPr>
        <w:t xml:space="preserve">Ideally, you should be able to obtain </w:t>
      </w:r>
      <w:r w:rsidR="00FB648C">
        <w:rPr>
          <w:rFonts w:ascii="Calibri" w:hAnsi="Calibri" w:cs="Calibri"/>
        </w:rPr>
        <w:t>the data</w:t>
      </w:r>
      <w:r w:rsidRPr="005207F2">
        <w:rPr>
          <w:rFonts w:ascii="Calibri" w:hAnsi="Calibri" w:cs="Calibri"/>
        </w:rPr>
        <w:t xml:space="preserve"> directly from your hospital’s Infection Preventionist. </w:t>
      </w:r>
      <w:r w:rsidR="005A6953">
        <w:rPr>
          <w:rFonts w:ascii="Calibri" w:hAnsi="Calibri" w:cs="Calibri"/>
        </w:rPr>
        <w:t xml:space="preserve">Involve them in your project. </w:t>
      </w:r>
      <w:r w:rsidRPr="005207F2">
        <w:rPr>
          <w:rFonts w:ascii="Calibri" w:hAnsi="Calibri" w:cs="Calibri"/>
        </w:rPr>
        <w:t xml:space="preserve">Discuss your unit’s baseline MRSA rates over the </w:t>
      </w:r>
      <w:r w:rsidR="00222CC4">
        <w:rPr>
          <w:rFonts w:ascii="Calibri" w:hAnsi="Calibri" w:cs="Calibri"/>
        </w:rPr>
        <w:t>p</w:t>
      </w:r>
      <w:r w:rsidR="00222CC4" w:rsidRPr="005207F2">
        <w:rPr>
          <w:rFonts w:ascii="Calibri" w:hAnsi="Calibri" w:cs="Calibri"/>
        </w:rPr>
        <w:t xml:space="preserve">ast </w:t>
      </w:r>
      <w:r w:rsidRPr="005207F2">
        <w:rPr>
          <w:rFonts w:ascii="Calibri" w:hAnsi="Calibri" w:cs="Calibri"/>
        </w:rPr>
        <w:t>year</w:t>
      </w:r>
      <w:r w:rsidR="00222CC4">
        <w:rPr>
          <w:rFonts w:ascii="Calibri" w:hAnsi="Calibri" w:cs="Calibri"/>
        </w:rPr>
        <w:t xml:space="preserve"> with them</w:t>
      </w:r>
      <w:r w:rsidRPr="005207F2">
        <w:rPr>
          <w:rFonts w:ascii="Calibri" w:hAnsi="Calibri" w:cs="Calibri"/>
        </w:rPr>
        <w:t xml:space="preserve">. </w:t>
      </w:r>
    </w:p>
    <w:p w14:paraId="751E4FF9" w14:textId="51EBA571" w:rsidR="00996B4E" w:rsidRPr="005207F2" w:rsidRDefault="00996B4E" w:rsidP="00996B4E">
      <w:pPr>
        <w:rPr>
          <w:rFonts w:ascii="Calibri" w:hAnsi="Calibri" w:cs="Calibri"/>
        </w:rPr>
      </w:pPr>
      <w:r w:rsidRPr="005207F2">
        <w:rPr>
          <w:rFonts w:ascii="Calibri" w:hAnsi="Calibri" w:cs="Calibri"/>
        </w:rPr>
        <w:t xml:space="preserve">If this information is not available, we have provided steps to determine general estimates. The following baseline assessments are suggested: </w:t>
      </w:r>
    </w:p>
    <w:p w14:paraId="26EEF37A" w14:textId="1C996E82" w:rsidR="00996B4E" w:rsidRPr="005207F2" w:rsidRDefault="00895828" w:rsidP="00996B4E">
      <w:pPr>
        <w:pStyle w:val="ListParagraph"/>
        <w:numPr>
          <w:ilvl w:val="0"/>
          <w:numId w:val="17"/>
        </w:numPr>
        <w:contextualSpacing w:val="0"/>
        <w:rPr>
          <w:rFonts w:ascii="Calibri" w:hAnsi="Calibri" w:cs="Calibri"/>
        </w:rPr>
      </w:pPr>
      <w:r w:rsidRPr="00FE0E20">
        <w:rPr>
          <w:rFonts w:ascii="Calibri" w:hAnsi="Calibri" w:cs="Calibri"/>
          <w:b/>
          <w:color w:val="007DA3" w:themeColor="accent1"/>
          <w:u w:val="single"/>
        </w:rPr>
        <w:t>All</w:t>
      </w:r>
      <w:r w:rsidR="002B4E7D" w:rsidRPr="002B4E7D">
        <w:rPr>
          <w:rFonts w:ascii="Calibri" w:hAnsi="Calibri" w:cs="Calibri"/>
          <w:b/>
          <w:color w:val="007DA3" w:themeColor="accent1"/>
          <w:u w:val="single"/>
        </w:rPr>
        <w:t>-Cause Bloodstream Infection Rates:</w:t>
      </w:r>
      <w:r w:rsidR="002B4E7D" w:rsidRPr="002B4E7D">
        <w:rPr>
          <w:rFonts w:ascii="Calibri" w:hAnsi="Calibri" w:cs="Calibri"/>
          <w:color w:val="007DA3" w:themeColor="accent1"/>
        </w:rPr>
        <w:t xml:space="preserve"> </w:t>
      </w:r>
      <w:r w:rsidR="00996B4E" w:rsidRPr="005207F2">
        <w:rPr>
          <w:rFonts w:ascii="Calibri" w:hAnsi="Calibri" w:cs="Calibri"/>
        </w:rPr>
        <w:t xml:space="preserve">These are total bloodstream infection rates from all causes for patients </w:t>
      </w:r>
      <w:r w:rsidR="009F63FD">
        <w:rPr>
          <w:rFonts w:ascii="Calibri" w:hAnsi="Calibri" w:cs="Calibri"/>
        </w:rPr>
        <w:t>in the unit</w:t>
      </w:r>
      <w:r w:rsidR="00996B4E" w:rsidRPr="005207F2">
        <w:rPr>
          <w:rFonts w:ascii="Calibri" w:hAnsi="Calibri" w:cs="Calibri"/>
        </w:rPr>
        <w:t>, not just central</w:t>
      </w:r>
      <w:r w:rsidR="00BD6A36">
        <w:rPr>
          <w:rFonts w:ascii="Calibri" w:hAnsi="Calibri" w:cs="Calibri"/>
        </w:rPr>
        <w:t>-</w:t>
      </w:r>
      <w:r w:rsidR="00996B4E" w:rsidRPr="005207F2">
        <w:rPr>
          <w:rFonts w:ascii="Calibri" w:hAnsi="Calibri" w:cs="Calibri"/>
        </w:rPr>
        <w:t xml:space="preserve">line infection bloodstream events. </w:t>
      </w:r>
      <w:r w:rsidR="00BD6A36">
        <w:rPr>
          <w:rFonts w:ascii="Calibri" w:hAnsi="Calibri" w:cs="Calibri"/>
        </w:rPr>
        <w:t xml:space="preserve">These </w:t>
      </w:r>
      <w:r w:rsidR="008B498E">
        <w:rPr>
          <w:rFonts w:ascii="Calibri" w:hAnsi="Calibri" w:cs="Calibri"/>
        </w:rPr>
        <w:t xml:space="preserve">data </w:t>
      </w:r>
      <w:r w:rsidR="001C79B0">
        <w:rPr>
          <w:rFonts w:ascii="Calibri" w:hAnsi="Calibri" w:cs="Calibri"/>
        </w:rPr>
        <w:t xml:space="preserve">will help </w:t>
      </w:r>
      <w:r w:rsidR="00996B4E" w:rsidRPr="005207F2">
        <w:rPr>
          <w:rFonts w:ascii="Calibri" w:hAnsi="Calibri" w:cs="Calibri"/>
        </w:rPr>
        <w:t xml:space="preserve">estimate the expected impact </w:t>
      </w:r>
      <w:r w:rsidR="008B498E">
        <w:rPr>
          <w:rFonts w:ascii="Calibri" w:hAnsi="Calibri" w:cs="Calibri"/>
        </w:rPr>
        <w:t xml:space="preserve">of </w:t>
      </w:r>
      <w:r w:rsidR="009C5B9A">
        <w:rPr>
          <w:rFonts w:ascii="Calibri" w:hAnsi="Calibri" w:cs="Calibri"/>
        </w:rPr>
        <w:t xml:space="preserve">adopting </w:t>
      </w:r>
      <w:r w:rsidR="00996B4E" w:rsidRPr="005207F2">
        <w:rPr>
          <w:rFonts w:ascii="Calibri" w:hAnsi="Calibri" w:cs="Calibri"/>
        </w:rPr>
        <w:t xml:space="preserve">decolonization in the </w:t>
      </w:r>
      <w:r w:rsidR="009C5B9A">
        <w:rPr>
          <w:rFonts w:ascii="Calibri" w:hAnsi="Calibri" w:cs="Calibri"/>
        </w:rPr>
        <w:t>unit</w:t>
      </w:r>
      <w:r w:rsidR="00996B4E" w:rsidRPr="005207F2">
        <w:rPr>
          <w:rFonts w:ascii="Calibri" w:hAnsi="Calibri" w:cs="Calibri"/>
        </w:rPr>
        <w:t xml:space="preserve">. Census data and data from the clinical microbiology laboratory </w:t>
      </w:r>
      <w:r w:rsidR="00D8016B">
        <w:rPr>
          <w:rFonts w:ascii="Calibri" w:hAnsi="Calibri" w:cs="Calibri"/>
        </w:rPr>
        <w:t>will be</w:t>
      </w:r>
      <w:r w:rsidR="00D8016B" w:rsidRPr="005207F2">
        <w:rPr>
          <w:rFonts w:ascii="Calibri" w:hAnsi="Calibri" w:cs="Calibri"/>
        </w:rPr>
        <w:t xml:space="preserve"> </w:t>
      </w:r>
      <w:r w:rsidR="00996B4E" w:rsidRPr="005207F2">
        <w:rPr>
          <w:rFonts w:ascii="Calibri" w:hAnsi="Calibri" w:cs="Calibri"/>
        </w:rPr>
        <w:t xml:space="preserve">needed for this estimate. </w:t>
      </w:r>
    </w:p>
    <w:p w14:paraId="1E4D690E" w14:textId="41090FB1" w:rsidR="00AB0743" w:rsidRDefault="00996B4E" w:rsidP="00996B4E">
      <w:pPr>
        <w:pStyle w:val="ListParagraph"/>
        <w:numPr>
          <w:ilvl w:val="1"/>
          <w:numId w:val="17"/>
        </w:numPr>
        <w:contextualSpacing w:val="0"/>
        <w:rPr>
          <w:rFonts w:ascii="Calibri" w:hAnsi="Calibri" w:cs="Calibri"/>
        </w:rPr>
      </w:pPr>
      <w:r w:rsidRPr="005207F2">
        <w:rPr>
          <w:rFonts w:ascii="Calibri" w:hAnsi="Calibri" w:cs="Calibri"/>
          <w:b/>
        </w:rPr>
        <w:t>C</w:t>
      </w:r>
      <w:r w:rsidR="0018720D" w:rsidRPr="005207F2">
        <w:rPr>
          <w:rFonts w:ascii="Calibri" w:hAnsi="Calibri" w:cs="Calibri"/>
          <w:b/>
        </w:rPr>
        <w:t>omprehensive estimate:</w:t>
      </w:r>
      <w:r w:rsidRPr="005207F2">
        <w:rPr>
          <w:rFonts w:ascii="Calibri" w:hAnsi="Calibri" w:cs="Calibri"/>
        </w:rPr>
        <w:t xml:space="preserve"> </w:t>
      </w:r>
      <w:r w:rsidR="00D8016B">
        <w:rPr>
          <w:rFonts w:ascii="Calibri" w:hAnsi="Calibri" w:cs="Calibri"/>
        </w:rPr>
        <w:t>Bloodstream infection rates</w:t>
      </w:r>
      <w:r w:rsidRPr="005207F2">
        <w:rPr>
          <w:rFonts w:ascii="Calibri" w:hAnsi="Calibri" w:cs="Calibri"/>
        </w:rPr>
        <w:t xml:space="preserve"> </w:t>
      </w:r>
      <w:r w:rsidR="00CA3096">
        <w:rPr>
          <w:rFonts w:ascii="Calibri" w:hAnsi="Calibri" w:cs="Calibri"/>
        </w:rPr>
        <w:t xml:space="preserve">are </w:t>
      </w:r>
      <w:r w:rsidR="00AB0F49">
        <w:rPr>
          <w:rFonts w:ascii="Calibri" w:hAnsi="Calibri" w:cs="Calibri"/>
        </w:rPr>
        <w:t>calculated as</w:t>
      </w:r>
      <w:r w:rsidR="00AB0F49" w:rsidRPr="005207F2">
        <w:rPr>
          <w:rFonts w:ascii="Calibri" w:hAnsi="Calibri" w:cs="Calibri"/>
        </w:rPr>
        <w:t xml:space="preserve"> </w:t>
      </w:r>
      <w:r w:rsidRPr="005207F2">
        <w:rPr>
          <w:rFonts w:ascii="Calibri" w:hAnsi="Calibri" w:cs="Calibri"/>
        </w:rPr>
        <w:t xml:space="preserve">the </w:t>
      </w:r>
      <w:r w:rsidR="000211BE">
        <w:rPr>
          <w:rFonts w:ascii="Calibri" w:hAnsi="Calibri" w:cs="Calibri"/>
        </w:rPr>
        <w:t xml:space="preserve">total </w:t>
      </w:r>
      <w:r w:rsidRPr="005207F2">
        <w:rPr>
          <w:rFonts w:ascii="Calibri" w:hAnsi="Calibri" w:cs="Calibri"/>
        </w:rPr>
        <w:t xml:space="preserve">number of patients with bloodstream infections attributed to the </w:t>
      </w:r>
      <w:r w:rsidR="00C87015" w:rsidRPr="005207F2">
        <w:rPr>
          <w:rFonts w:ascii="Calibri" w:hAnsi="Calibri" w:cs="Calibri"/>
        </w:rPr>
        <w:t>unit</w:t>
      </w:r>
      <w:r w:rsidRPr="005207F2">
        <w:rPr>
          <w:rFonts w:ascii="Calibri" w:hAnsi="Calibri" w:cs="Calibri"/>
        </w:rPr>
        <w:t xml:space="preserve"> (numerator) divided by the number of attributable unit </w:t>
      </w:r>
      <w:r w:rsidR="00610840">
        <w:rPr>
          <w:rFonts w:ascii="Calibri" w:hAnsi="Calibri" w:cs="Calibri"/>
        </w:rPr>
        <w:t>patient-</w:t>
      </w:r>
      <w:r w:rsidRPr="005207F2">
        <w:rPr>
          <w:rFonts w:ascii="Calibri" w:hAnsi="Calibri" w:cs="Calibri"/>
        </w:rPr>
        <w:t>days (denominator)</w:t>
      </w:r>
      <w:r w:rsidR="00641A42">
        <w:rPr>
          <w:rFonts w:ascii="Calibri" w:hAnsi="Calibri" w:cs="Calibri"/>
        </w:rPr>
        <w:t xml:space="preserve">. </w:t>
      </w:r>
    </w:p>
    <w:p w14:paraId="3851732C" w14:textId="24D07376" w:rsidR="00AB0F49" w:rsidRDefault="00641A42" w:rsidP="00A8307E">
      <w:pPr>
        <w:pStyle w:val="ListParagraph"/>
        <w:numPr>
          <w:ilvl w:val="2"/>
          <w:numId w:val="17"/>
        </w:numPr>
        <w:contextualSpacing w:val="0"/>
        <w:rPr>
          <w:rFonts w:ascii="Calibri" w:hAnsi="Calibri" w:cs="Calibri"/>
        </w:rPr>
      </w:pPr>
      <w:r w:rsidRPr="007B1CE4">
        <w:rPr>
          <w:rFonts w:ascii="Calibri" w:hAnsi="Calibri" w:cs="Calibri"/>
          <w:i/>
          <w:iCs/>
        </w:rPr>
        <w:t xml:space="preserve">If you </w:t>
      </w:r>
      <w:r w:rsidR="008C75CB" w:rsidRPr="007B1CE4">
        <w:rPr>
          <w:rFonts w:ascii="Calibri" w:hAnsi="Calibri" w:cs="Calibri"/>
          <w:i/>
          <w:iCs/>
        </w:rPr>
        <w:t>are planning to use a Targeted Decolonization approach</w:t>
      </w:r>
      <w:r w:rsidR="0014330E" w:rsidRPr="007B1CE4">
        <w:rPr>
          <w:rFonts w:ascii="Calibri" w:hAnsi="Calibri" w:cs="Calibri"/>
          <w:i/>
          <w:iCs/>
        </w:rPr>
        <w:t xml:space="preserve">, </w:t>
      </w:r>
      <w:r w:rsidR="00750087">
        <w:rPr>
          <w:rFonts w:ascii="Calibri" w:hAnsi="Calibri" w:cs="Calibri"/>
          <w:i/>
          <w:iCs/>
        </w:rPr>
        <w:t xml:space="preserve">calculate using totals </w:t>
      </w:r>
      <w:r w:rsidR="00507AB1">
        <w:rPr>
          <w:rFonts w:ascii="Calibri" w:hAnsi="Calibri" w:cs="Calibri"/>
          <w:i/>
          <w:iCs/>
        </w:rPr>
        <w:t>among</w:t>
      </w:r>
      <w:r w:rsidR="00D8016B">
        <w:rPr>
          <w:rFonts w:ascii="Calibri" w:hAnsi="Calibri" w:cs="Calibri"/>
          <w:i/>
          <w:iCs/>
        </w:rPr>
        <w:t xml:space="preserve"> </w:t>
      </w:r>
      <w:r w:rsidR="00750087">
        <w:rPr>
          <w:rFonts w:ascii="Calibri" w:hAnsi="Calibri" w:cs="Calibri"/>
          <w:i/>
          <w:iCs/>
        </w:rPr>
        <w:t xml:space="preserve">the </w:t>
      </w:r>
      <w:r w:rsidR="00477BF5">
        <w:rPr>
          <w:rFonts w:ascii="Calibri" w:hAnsi="Calibri" w:cs="Calibri"/>
          <w:i/>
          <w:iCs/>
        </w:rPr>
        <w:t>patients who meet your targeted criteria</w:t>
      </w:r>
      <w:r w:rsidR="00996B4E" w:rsidRPr="007B1CE4">
        <w:rPr>
          <w:rFonts w:ascii="Calibri" w:hAnsi="Calibri" w:cs="Calibri"/>
          <w:i/>
          <w:iCs/>
        </w:rPr>
        <w:t>.</w:t>
      </w:r>
    </w:p>
    <w:p w14:paraId="37FF5814" w14:textId="1C5DB777" w:rsidR="00996B4E" w:rsidRPr="005207F2" w:rsidRDefault="00750087" w:rsidP="00AB0743">
      <w:pPr>
        <w:pStyle w:val="ListParagraph"/>
        <w:ind w:left="1080"/>
        <w:contextualSpacing w:val="0"/>
        <w:rPr>
          <w:rFonts w:ascii="Calibri" w:hAnsi="Calibri" w:cs="Calibri"/>
        </w:rPr>
      </w:pPr>
      <w:r>
        <w:rPr>
          <w:rFonts w:ascii="Calibri" w:hAnsi="Calibri" w:cs="Calibri"/>
        </w:rPr>
        <w:t>T</w:t>
      </w:r>
      <w:r w:rsidR="00996B4E" w:rsidRPr="005207F2">
        <w:rPr>
          <w:rFonts w:ascii="Calibri" w:hAnsi="Calibri" w:cs="Calibri"/>
        </w:rPr>
        <w:t xml:space="preserve">he Centers for Disease Control and Prevention (CDC) </w:t>
      </w:r>
      <w:r>
        <w:rPr>
          <w:rFonts w:ascii="Calibri" w:hAnsi="Calibri" w:cs="Calibri"/>
        </w:rPr>
        <w:t>defines a</w:t>
      </w:r>
      <w:r w:rsidRPr="00507AB1">
        <w:rPr>
          <w:rFonts w:ascii="Calibri" w:hAnsi="Calibri" w:cs="Calibri"/>
        </w:rPr>
        <w:t>ttribution to a unit</w:t>
      </w:r>
      <w:r w:rsidRPr="005207F2">
        <w:rPr>
          <w:rFonts w:ascii="Calibri" w:hAnsi="Calibri" w:cs="Calibri"/>
        </w:rPr>
        <w:t xml:space="preserve"> </w:t>
      </w:r>
      <w:r w:rsidR="00996B4E" w:rsidRPr="005207F2">
        <w:rPr>
          <w:rFonts w:ascii="Calibri" w:hAnsi="Calibri" w:cs="Calibri"/>
        </w:rPr>
        <w:t xml:space="preserve">as </w:t>
      </w:r>
      <w:r w:rsidR="00996B4E" w:rsidRPr="00A8307E">
        <w:rPr>
          <w:rFonts w:ascii="Calibri" w:hAnsi="Calibri" w:cs="Calibri"/>
          <w:u w:val="single"/>
        </w:rPr>
        <w:t xml:space="preserve">events that occur more than 2 days after unit admission through 2 days after </w:t>
      </w:r>
      <w:r w:rsidR="00E83B74" w:rsidRPr="00A8307E">
        <w:rPr>
          <w:rFonts w:ascii="Calibri" w:hAnsi="Calibri" w:cs="Calibri"/>
          <w:u w:val="single"/>
        </w:rPr>
        <w:t xml:space="preserve">unit </w:t>
      </w:r>
      <w:r w:rsidR="00996B4E" w:rsidRPr="00A8307E">
        <w:rPr>
          <w:rFonts w:ascii="Calibri" w:hAnsi="Calibri" w:cs="Calibri"/>
          <w:u w:val="single"/>
        </w:rPr>
        <w:t>discharge</w:t>
      </w:r>
      <w:r w:rsidR="00996B4E" w:rsidRPr="00A8307E">
        <w:rPr>
          <w:rFonts w:ascii="Calibri" w:hAnsi="Calibri" w:cs="Calibri"/>
          <w:b/>
          <w:bCs/>
        </w:rPr>
        <w:t>.</w:t>
      </w:r>
      <w:r w:rsidR="00996B4E" w:rsidRPr="005207F2">
        <w:rPr>
          <w:rFonts w:ascii="Calibri" w:hAnsi="Calibri" w:cs="Calibri"/>
        </w:rPr>
        <w:t xml:space="preserve"> </w:t>
      </w:r>
      <w:r w:rsidR="00302911">
        <w:rPr>
          <w:rFonts w:ascii="Calibri" w:hAnsi="Calibri" w:cs="Calibri"/>
        </w:rPr>
        <w:t>T</w:t>
      </w:r>
      <w:r w:rsidR="00996B4E" w:rsidRPr="005207F2">
        <w:rPr>
          <w:rFonts w:ascii="Calibri" w:hAnsi="Calibri" w:cs="Calibri"/>
        </w:rPr>
        <w:t xml:space="preserve">he number of attributable bloodstream infections within a reasonable length of time (i.e., 1 year) should be divided by the </w:t>
      </w:r>
      <w:r w:rsidR="00302911">
        <w:rPr>
          <w:rFonts w:ascii="Calibri" w:hAnsi="Calibri" w:cs="Calibri"/>
        </w:rPr>
        <w:t xml:space="preserve">total </w:t>
      </w:r>
      <w:r w:rsidR="00996B4E" w:rsidRPr="005207F2">
        <w:rPr>
          <w:rFonts w:ascii="Calibri" w:hAnsi="Calibri" w:cs="Calibri"/>
        </w:rPr>
        <w:t>number of patient</w:t>
      </w:r>
      <w:r w:rsidR="00B618A9">
        <w:rPr>
          <w:rFonts w:ascii="Calibri" w:hAnsi="Calibri" w:cs="Calibri"/>
        </w:rPr>
        <w:t>-</w:t>
      </w:r>
      <w:r w:rsidR="00996B4E" w:rsidRPr="005207F2">
        <w:rPr>
          <w:rFonts w:ascii="Calibri" w:hAnsi="Calibri" w:cs="Calibri"/>
        </w:rPr>
        <w:t xml:space="preserve">days </w:t>
      </w:r>
      <w:r w:rsidR="00EC46CE">
        <w:rPr>
          <w:rFonts w:ascii="Calibri" w:hAnsi="Calibri" w:cs="Calibri"/>
        </w:rPr>
        <w:t xml:space="preserve">attributable to the unit </w:t>
      </w:r>
      <w:r w:rsidR="00996B4E" w:rsidRPr="005207F2">
        <w:rPr>
          <w:rFonts w:ascii="Calibri" w:hAnsi="Calibri" w:cs="Calibri"/>
        </w:rPr>
        <w:t xml:space="preserve">in that same </w:t>
      </w:r>
      <w:r w:rsidR="00EC46CE">
        <w:rPr>
          <w:rFonts w:ascii="Calibri" w:hAnsi="Calibri" w:cs="Calibri"/>
        </w:rPr>
        <w:t>period</w:t>
      </w:r>
      <w:r w:rsidR="00996B4E" w:rsidRPr="005207F2">
        <w:rPr>
          <w:rFonts w:ascii="Calibri" w:hAnsi="Calibri" w:cs="Calibri"/>
        </w:rPr>
        <w:t xml:space="preserve">. </w:t>
      </w:r>
    </w:p>
    <w:p w14:paraId="24979FFA" w14:textId="45314153" w:rsidR="00610840" w:rsidRDefault="005C49BC" w:rsidP="00996B4E">
      <w:pPr>
        <w:ind w:left="1080"/>
        <w:rPr>
          <w:rFonts w:ascii="Calibri" w:hAnsi="Calibri" w:cs="Calibri"/>
        </w:rPr>
      </w:pPr>
      <w:r>
        <w:rPr>
          <w:rFonts w:ascii="Calibri" w:hAnsi="Calibri" w:cs="Calibri"/>
        </w:rPr>
        <w:t>Attributable b</w:t>
      </w:r>
      <w:r w:rsidRPr="00507AB1">
        <w:rPr>
          <w:rFonts w:ascii="Calibri" w:hAnsi="Calibri" w:cs="Calibri"/>
        </w:rPr>
        <w:t xml:space="preserve">loodstream </w:t>
      </w:r>
      <w:r w:rsidR="00996B4E" w:rsidRPr="00507AB1">
        <w:rPr>
          <w:rFonts w:ascii="Calibri" w:hAnsi="Calibri" w:cs="Calibri"/>
        </w:rPr>
        <w:t xml:space="preserve">infection </w:t>
      </w:r>
      <w:r w:rsidR="00996B4E" w:rsidRPr="005207F2">
        <w:rPr>
          <w:rFonts w:ascii="Calibri" w:hAnsi="Calibri" w:cs="Calibri"/>
        </w:rPr>
        <w:t xml:space="preserve">should be </w:t>
      </w:r>
      <w:r w:rsidR="00966216">
        <w:rPr>
          <w:rFonts w:ascii="Calibri" w:hAnsi="Calibri" w:cs="Calibri"/>
        </w:rPr>
        <w:t>counted</w:t>
      </w:r>
      <w:r w:rsidR="00966216" w:rsidRPr="005207F2">
        <w:rPr>
          <w:rFonts w:ascii="Calibri" w:hAnsi="Calibri" w:cs="Calibri"/>
        </w:rPr>
        <w:t xml:space="preserve"> </w:t>
      </w:r>
      <w:r w:rsidR="00996B4E" w:rsidRPr="005207F2">
        <w:rPr>
          <w:rFonts w:ascii="Calibri" w:hAnsi="Calibri" w:cs="Calibri"/>
        </w:rPr>
        <w:t xml:space="preserve">from </w:t>
      </w:r>
      <w:r w:rsidR="00996B4E" w:rsidRPr="00A8307E">
        <w:rPr>
          <w:rFonts w:ascii="Calibri" w:hAnsi="Calibri" w:cs="Calibri"/>
          <w:u w:val="single"/>
        </w:rPr>
        <w:t xml:space="preserve">positive blood cultures </w:t>
      </w:r>
      <w:r w:rsidR="00966216" w:rsidRPr="00A8307E">
        <w:rPr>
          <w:rFonts w:ascii="Calibri" w:hAnsi="Calibri" w:cs="Calibri"/>
          <w:u w:val="single"/>
        </w:rPr>
        <w:t xml:space="preserve">taken </w:t>
      </w:r>
      <w:r w:rsidR="00996B4E" w:rsidRPr="00A8307E">
        <w:rPr>
          <w:rFonts w:ascii="Calibri" w:hAnsi="Calibri" w:cs="Calibri"/>
          <w:u w:val="single"/>
        </w:rPr>
        <w:t>more than 2 days after unit admission through 2 days after unit discharge</w:t>
      </w:r>
      <w:r w:rsidR="00996B4E" w:rsidRPr="005207F2">
        <w:rPr>
          <w:rFonts w:ascii="Calibri" w:hAnsi="Calibri" w:cs="Calibri"/>
        </w:rPr>
        <w:t xml:space="preserve">. </w:t>
      </w:r>
      <w:r w:rsidR="002D6869">
        <w:rPr>
          <w:rFonts w:ascii="Calibri" w:hAnsi="Calibri" w:cs="Calibri"/>
        </w:rPr>
        <w:t>Only one event per patient should be counte</w:t>
      </w:r>
      <w:r w:rsidR="008E4476">
        <w:rPr>
          <w:rFonts w:ascii="Calibri" w:hAnsi="Calibri" w:cs="Calibri"/>
        </w:rPr>
        <w:t>d</w:t>
      </w:r>
      <w:r w:rsidR="002D6869">
        <w:rPr>
          <w:rFonts w:ascii="Calibri" w:hAnsi="Calibri" w:cs="Calibri"/>
        </w:rPr>
        <w:t>, t</w:t>
      </w:r>
      <w:r w:rsidR="002D6869" w:rsidRPr="005207F2">
        <w:rPr>
          <w:rFonts w:ascii="Calibri" w:hAnsi="Calibri" w:cs="Calibri"/>
        </w:rPr>
        <w:t xml:space="preserve">o </w:t>
      </w:r>
      <w:r w:rsidR="00996B4E" w:rsidRPr="005207F2">
        <w:rPr>
          <w:rFonts w:ascii="Calibri" w:hAnsi="Calibri" w:cs="Calibri"/>
        </w:rPr>
        <w:t xml:space="preserve">avoid </w:t>
      </w:r>
      <w:r w:rsidR="002D6869">
        <w:rPr>
          <w:rFonts w:ascii="Calibri" w:hAnsi="Calibri" w:cs="Calibri"/>
        </w:rPr>
        <w:t xml:space="preserve">inflating numbers due to </w:t>
      </w:r>
      <w:r w:rsidR="00996B4E" w:rsidRPr="005207F2">
        <w:rPr>
          <w:rFonts w:ascii="Calibri" w:hAnsi="Calibri" w:cs="Calibri"/>
        </w:rPr>
        <w:t>persistent bacteremia. Two positive blood cultures should be required for skin commensals to be considered an infection. This is consistent with CDC guidance.</w:t>
      </w:r>
      <w:r w:rsidR="00996B4E" w:rsidRPr="005207F2">
        <w:rPr>
          <w:rFonts w:ascii="Calibri" w:hAnsi="Calibri" w:cs="Calibri"/>
          <w:vertAlign w:val="superscript"/>
        </w:rPr>
        <w:t>9,10</w:t>
      </w:r>
      <w:r w:rsidR="00996B4E" w:rsidRPr="005207F2">
        <w:rPr>
          <w:rFonts w:ascii="Calibri" w:hAnsi="Calibri" w:cs="Calibri"/>
        </w:rPr>
        <w:t xml:space="preserve"> </w:t>
      </w:r>
    </w:p>
    <w:p w14:paraId="59E2B90D" w14:textId="1B9AEEC3" w:rsidR="00996B4E" w:rsidRPr="005207F2" w:rsidRDefault="00610840" w:rsidP="00996B4E">
      <w:pPr>
        <w:ind w:left="1080"/>
        <w:rPr>
          <w:rFonts w:ascii="Calibri" w:hAnsi="Calibri" w:cs="Calibri"/>
        </w:rPr>
      </w:pPr>
      <w:r>
        <w:rPr>
          <w:rFonts w:ascii="Calibri" w:hAnsi="Calibri" w:cs="Calibri"/>
        </w:rPr>
        <w:t xml:space="preserve">Attributable patient-days </w:t>
      </w:r>
      <w:r w:rsidR="006036B3">
        <w:rPr>
          <w:rFonts w:ascii="Calibri" w:hAnsi="Calibri" w:cs="Calibri"/>
        </w:rPr>
        <w:t xml:space="preserve">should be counted </w:t>
      </w:r>
      <w:r w:rsidR="00996B4E" w:rsidRPr="005207F2">
        <w:rPr>
          <w:rFonts w:ascii="Calibri" w:hAnsi="Calibri" w:cs="Calibri"/>
        </w:rPr>
        <w:t xml:space="preserve">from </w:t>
      </w:r>
      <w:r w:rsidR="00CC7F8A">
        <w:rPr>
          <w:rFonts w:ascii="Calibri" w:hAnsi="Calibri" w:cs="Calibri"/>
        </w:rPr>
        <w:t>D</w:t>
      </w:r>
      <w:r w:rsidR="00996B4E" w:rsidRPr="005207F2">
        <w:rPr>
          <w:rFonts w:ascii="Calibri" w:hAnsi="Calibri" w:cs="Calibri"/>
        </w:rPr>
        <w:t xml:space="preserve">ay 3 of a </w:t>
      </w:r>
      <w:r w:rsidR="006036B3">
        <w:rPr>
          <w:rFonts w:ascii="Calibri" w:hAnsi="Calibri" w:cs="Calibri"/>
        </w:rPr>
        <w:t xml:space="preserve">patient’s </w:t>
      </w:r>
      <w:r w:rsidR="00996B4E" w:rsidRPr="005207F2">
        <w:rPr>
          <w:rFonts w:ascii="Calibri" w:hAnsi="Calibri" w:cs="Calibri"/>
        </w:rPr>
        <w:t xml:space="preserve">unit stay through 2 days </w:t>
      </w:r>
      <w:r w:rsidR="00C44D25">
        <w:rPr>
          <w:rFonts w:ascii="Calibri" w:hAnsi="Calibri" w:cs="Calibri"/>
        </w:rPr>
        <w:t xml:space="preserve">after </w:t>
      </w:r>
      <w:r w:rsidR="00996B4E" w:rsidRPr="005207F2">
        <w:rPr>
          <w:rFonts w:ascii="Calibri" w:hAnsi="Calibri" w:cs="Calibri"/>
        </w:rPr>
        <w:t>unit discharge</w:t>
      </w:r>
      <w:r w:rsidR="00C44D25">
        <w:rPr>
          <w:rFonts w:ascii="Calibri" w:hAnsi="Calibri" w:cs="Calibri"/>
        </w:rPr>
        <w:t>,</w:t>
      </w:r>
      <w:r w:rsidR="00996B4E" w:rsidRPr="005207F2">
        <w:rPr>
          <w:rFonts w:ascii="Calibri" w:hAnsi="Calibri" w:cs="Calibri"/>
        </w:rPr>
        <w:t xml:space="preserve"> if the patient remains hospitalized. </w:t>
      </w:r>
    </w:p>
    <w:p w14:paraId="69E213FE" w14:textId="2F3DED62" w:rsidR="00996B4E" w:rsidRPr="005207F2" w:rsidRDefault="00996B4E" w:rsidP="00996B4E">
      <w:pPr>
        <w:ind w:left="1080"/>
        <w:rPr>
          <w:rFonts w:ascii="Calibri" w:hAnsi="Calibri" w:cs="Calibri"/>
        </w:rPr>
      </w:pPr>
      <w:r w:rsidRPr="005207F2">
        <w:rPr>
          <w:rFonts w:ascii="Calibri" w:hAnsi="Calibri" w:cs="Calibri"/>
        </w:rPr>
        <w:t xml:space="preserve">To </w:t>
      </w:r>
      <w:r w:rsidR="00C44D25">
        <w:rPr>
          <w:rFonts w:ascii="Calibri" w:hAnsi="Calibri" w:cs="Calibri"/>
        </w:rPr>
        <w:t xml:space="preserve">express </w:t>
      </w:r>
      <w:r w:rsidRPr="005207F2">
        <w:rPr>
          <w:rFonts w:ascii="Calibri" w:hAnsi="Calibri" w:cs="Calibri"/>
        </w:rPr>
        <w:t xml:space="preserve">the rate </w:t>
      </w:r>
      <w:r w:rsidR="00C92D74">
        <w:rPr>
          <w:rFonts w:ascii="Calibri" w:hAnsi="Calibri" w:cs="Calibri"/>
        </w:rPr>
        <w:t xml:space="preserve">as total events </w:t>
      </w:r>
      <w:r w:rsidRPr="005207F2">
        <w:rPr>
          <w:rFonts w:ascii="Calibri" w:hAnsi="Calibri" w:cs="Calibri"/>
        </w:rPr>
        <w:t>per 1,000 patient</w:t>
      </w:r>
      <w:r w:rsidR="00B618A9">
        <w:rPr>
          <w:rFonts w:ascii="Calibri" w:hAnsi="Calibri" w:cs="Calibri"/>
        </w:rPr>
        <w:t>-</w:t>
      </w:r>
      <w:r w:rsidRPr="005207F2">
        <w:rPr>
          <w:rFonts w:ascii="Calibri" w:hAnsi="Calibri" w:cs="Calibri"/>
        </w:rPr>
        <w:t xml:space="preserve">days, multiply </w:t>
      </w:r>
      <w:r w:rsidR="00FD26EA">
        <w:rPr>
          <w:rFonts w:ascii="Calibri" w:hAnsi="Calibri" w:cs="Calibri"/>
        </w:rPr>
        <w:t xml:space="preserve">the </w:t>
      </w:r>
      <w:r w:rsidR="00C92D74">
        <w:rPr>
          <w:rFonts w:ascii="Calibri" w:hAnsi="Calibri" w:cs="Calibri"/>
        </w:rPr>
        <w:t xml:space="preserve">calculated </w:t>
      </w:r>
      <w:r w:rsidRPr="005207F2">
        <w:rPr>
          <w:rFonts w:ascii="Calibri" w:hAnsi="Calibri" w:cs="Calibri"/>
        </w:rPr>
        <w:t>rate (number of events</w:t>
      </w:r>
      <w:r w:rsidR="00AB0743">
        <w:rPr>
          <w:rFonts w:ascii="Calibri" w:hAnsi="Calibri" w:cs="Calibri"/>
        </w:rPr>
        <w:t xml:space="preserve"> divided by </w:t>
      </w:r>
      <w:r w:rsidR="00B618A9">
        <w:rPr>
          <w:rFonts w:ascii="Calibri" w:hAnsi="Calibri" w:cs="Calibri"/>
        </w:rPr>
        <w:t xml:space="preserve">unit </w:t>
      </w:r>
      <w:r w:rsidRPr="005207F2">
        <w:rPr>
          <w:rFonts w:ascii="Calibri" w:hAnsi="Calibri" w:cs="Calibri"/>
        </w:rPr>
        <w:t>patient</w:t>
      </w:r>
      <w:r w:rsidR="00B618A9">
        <w:rPr>
          <w:rFonts w:ascii="Calibri" w:hAnsi="Calibri" w:cs="Calibri"/>
        </w:rPr>
        <w:t>-</w:t>
      </w:r>
      <w:r w:rsidRPr="005207F2">
        <w:rPr>
          <w:rFonts w:ascii="Calibri" w:hAnsi="Calibri" w:cs="Calibri"/>
        </w:rPr>
        <w:t>days) by 1,000.</w:t>
      </w:r>
    </w:p>
    <w:p w14:paraId="7502B474" w14:textId="5E66FD77" w:rsidR="00B97328" w:rsidRDefault="00996B4E" w:rsidP="00996B4E">
      <w:pPr>
        <w:pStyle w:val="ListParagraph"/>
        <w:numPr>
          <w:ilvl w:val="1"/>
          <w:numId w:val="17"/>
        </w:numPr>
        <w:contextualSpacing w:val="0"/>
        <w:rPr>
          <w:rFonts w:ascii="Calibri" w:hAnsi="Calibri" w:cs="Calibri"/>
        </w:rPr>
      </w:pPr>
      <w:r w:rsidRPr="005207F2">
        <w:rPr>
          <w:rFonts w:ascii="Calibri" w:hAnsi="Calibri" w:cs="Calibri"/>
          <w:b/>
        </w:rPr>
        <w:lastRenderedPageBreak/>
        <w:t>S</w:t>
      </w:r>
      <w:r w:rsidR="0018720D" w:rsidRPr="005207F2">
        <w:rPr>
          <w:rFonts w:ascii="Calibri" w:hAnsi="Calibri" w:cs="Calibri"/>
          <w:b/>
        </w:rPr>
        <w:t>implified estimate</w:t>
      </w:r>
      <w:r w:rsidRPr="005207F2">
        <w:rPr>
          <w:rFonts w:ascii="Calibri" w:hAnsi="Calibri" w:cs="Calibri"/>
        </w:rPr>
        <w:t xml:space="preserve">: If the comprehensive estimate is too difficult to obtain, a simplified </w:t>
      </w:r>
      <w:r w:rsidR="004E3A6B">
        <w:rPr>
          <w:rFonts w:ascii="Calibri" w:hAnsi="Calibri" w:cs="Calibri"/>
        </w:rPr>
        <w:t>method is to sum</w:t>
      </w:r>
      <w:r w:rsidR="00A76AAD" w:rsidRPr="005207F2">
        <w:rPr>
          <w:rFonts w:ascii="Calibri" w:hAnsi="Calibri" w:cs="Calibri"/>
        </w:rPr>
        <w:t xml:space="preserve"> </w:t>
      </w:r>
      <w:r w:rsidR="00EF5300">
        <w:rPr>
          <w:rFonts w:ascii="Calibri" w:hAnsi="Calibri" w:cs="Calibri"/>
        </w:rPr>
        <w:t xml:space="preserve">all </w:t>
      </w:r>
      <w:r w:rsidRPr="005207F2">
        <w:rPr>
          <w:rFonts w:ascii="Calibri" w:hAnsi="Calibri" w:cs="Calibri"/>
        </w:rPr>
        <w:t xml:space="preserve">unique patients on the unit </w:t>
      </w:r>
      <w:r w:rsidR="004E3A6B">
        <w:rPr>
          <w:rFonts w:ascii="Calibri" w:hAnsi="Calibri" w:cs="Calibri"/>
        </w:rPr>
        <w:t>with</w:t>
      </w:r>
      <w:r w:rsidRPr="005207F2">
        <w:rPr>
          <w:rFonts w:ascii="Calibri" w:hAnsi="Calibri" w:cs="Calibri"/>
        </w:rPr>
        <w:t xml:space="preserve"> a positive blood culture </w:t>
      </w:r>
      <w:r w:rsidR="006E6397">
        <w:rPr>
          <w:rFonts w:ascii="Calibri" w:hAnsi="Calibri" w:cs="Calibri"/>
        </w:rPr>
        <w:t xml:space="preserve">during </w:t>
      </w:r>
      <w:r w:rsidRPr="005207F2">
        <w:rPr>
          <w:rFonts w:ascii="Calibri" w:hAnsi="Calibri" w:cs="Calibri"/>
        </w:rPr>
        <w:t xml:space="preserve">their </w:t>
      </w:r>
      <w:r w:rsidR="004E3A6B">
        <w:rPr>
          <w:rFonts w:ascii="Calibri" w:hAnsi="Calibri" w:cs="Calibri"/>
        </w:rPr>
        <w:t xml:space="preserve">unit </w:t>
      </w:r>
      <w:r w:rsidRPr="005207F2">
        <w:rPr>
          <w:rFonts w:ascii="Calibri" w:hAnsi="Calibri" w:cs="Calibri"/>
        </w:rPr>
        <w:t>stay</w:t>
      </w:r>
      <w:r w:rsidR="001B44FD">
        <w:rPr>
          <w:rFonts w:ascii="Calibri" w:hAnsi="Calibri" w:cs="Calibri"/>
        </w:rPr>
        <w:t>,</w:t>
      </w:r>
      <w:r w:rsidRPr="005207F2">
        <w:rPr>
          <w:rFonts w:ascii="Calibri" w:hAnsi="Calibri" w:cs="Calibri"/>
        </w:rPr>
        <w:t xml:space="preserve"> </w:t>
      </w:r>
      <w:r w:rsidR="001B44FD">
        <w:rPr>
          <w:rFonts w:ascii="Calibri" w:hAnsi="Calibri" w:cs="Calibri"/>
        </w:rPr>
        <w:t xml:space="preserve">divided </w:t>
      </w:r>
      <w:r w:rsidRPr="005207F2">
        <w:rPr>
          <w:rFonts w:ascii="Calibri" w:hAnsi="Calibri" w:cs="Calibri"/>
        </w:rPr>
        <w:t xml:space="preserve">by </w:t>
      </w:r>
      <w:r w:rsidR="001B44FD">
        <w:rPr>
          <w:rFonts w:ascii="Calibri" w:hAnsi="Calibri" w:cs="Calibri"/>
        </w:rPr>
        <w:t xml:space="preserve">the </w:t>
      </w:r>
      <w:r w:rsidRPr="005207F2">
        <w:rPr>
          <w:rFonts w:ascii="Calibri" w:hAnsi="Calibri" w:cs="Calibri"/>
        </w:rPr>
        <w:t xml:space="preserve">total </w:t>
      </w:r>
      <w:r w:rsidR="001B44FD">
        <w:rPr>
          <w:rFonts w:ascii="Calibri" w:hAnsi="Calibri" w:cs="Calibri"/>
        </w:rPr>
        <w:t xml:space="preserve">number of </w:t>
      </w:r>
      <w:r w:rsidRPr="005207F2">
        <w:rPr>
          <w:rFonts w:ascii="Calibri" w:hAnsi="Calibri" w:cs="Calibri"/>
        </w:rPr>
        <w:t>unit</w:t>
      </w:r>
      <w:r w:rsidR="00A76AAD">
        <w:rPr>
          <w:rFonts w:ascii="Calibri" w:hAnsi="Calibri" w:cs="Calibri"/>
        </w:rPr>
        <w:t xml:space="preserve"> </w:t>
      </w:r>
      <w:r w:rsidRPr="005207F2">
        <w:rPr>
          <w:rFonts w:ascii="Calibri" w:hAnsi="Calibri" w:cs="Calibri"/>
        </w:rPr>
        <w:t>patient</w:t>
      </w:r>
      <w:r w:rsidR="00B618A9">
        <w:rPr>
          <w:rFonts w:ascii="Calibri" w:hAnsi="Calibri" w:cs="Calibri"/>
        </w:rPr>
        <w:t>-</w:t>
      </w:r>
      <w:r w:rsidRPr="005207F2">
        <w:rPr>
          <w:rFonts w:ascii="Calibri" w:hAnsi="Calibri" w:cs="Calibri"/>
        </w:rPr>
        <w:t>days</w:t>
      </w:r>
      <w:r w:rsidR="00EF5300">
        <w:rPr>
          <w:rFonts w:ascii="Calibri" w:hAnsi="Calibri" w:cs="Calibri"/>
        </w:rPr>
        <w:t xml:space="preserve">. </w:t>
      </w:r>
    </w:p>
    <w:p w14:paraId="6241A565" w14:textId="15F36A48" w:rsidR="00B97328" w:rsidRDefault="00EF5300" w:rsidP="00A8307E">
      <w:pPr>
        <w:pStyle w:val="ListParagraph"/>
        <w:numPr>
          <w:ilvl w:val="2"/>
          <w:numId w:val="17"/>
        </w:numPr>
        <w:contextualSpacing w:val="0"/>
        <w:rPr>
          <w:rFonts w:ascii="Calibri" w:hAnsi="Calibri" w:cs="Calibri"/>
        </w:rPr>
      </w:pPr>
      <w:r w:rsidRPr="007B1CE4">
        <w:rPr>
          <w:rFonts w:ascii="Calibri" w:hAnsi="Calibri" w:cs="Calibri"/>
          <w:i/>
          <w:iCs/>
        </w:rPr>
        <w:t xml:space="preserve">If you are planning to use Targeted Decolonization, </w:t>
      </w:r>
      <w:r w:rsidR="007B1CE4" w:rsidRPr="007B1CE4">
        <w:rPr>
          <w:rFonts w:ascii="Calibri" w:hAnsi="Calibri" w:cs="Calibri"/>
          <w:i/>
          <w:iCs/>
        </w:rPr>
        <w:t xml:space="preserve">remember to use the numbers appropriate for the </w:t>
      </w:r>
      <w:r w:rsidR="00996B4E" w:rsidRPr="007B1CE4">
        <w:rPr>
          <w:rFonts w:ascii="Calibri" w:hAnsi="Calibri" w:cs="Calibri"/>
          <w:i/>
          <w:iCs/>
        </w:rPr>
        <w:t xml:space="preserve">patients </w:t>
      </w:r>
      <w:r w:rsidR="00B97328">
        <w:rPr>
          <w:rFonts w:ascii="Calibri" w:hAnsi="Calibri" w:cs="Calibri"/>
          <w:i/>
          <w:iCs/>
        </w:rPr>
        <w:t>who meet your targeted criteria</w:t>
      </w:r>
      <w:r w:rsidR="00996B4E" w:rsidRPr="007B1CE4">
        <w:rPr>
          <w:rFonts w:ascii="Calibri" w:hAnsi="Calibri" w:cs="Calibri"/>
          <w:i/>
          <w:iCs/>
        </w:rPr>
        <w:t>.</w:t>
      </w:r>
    </w:p>
    <w:p w14:paraId="2125E32C" w14:textId="0DA3EDAA" w:rsidR="00996B4E" w:rsidRPr="005207F2" w:rsidRDefault="001B44FD" w:rsidP="00747135">
      <w:pPr>
        <w:pStyle w:val="ListParagraph"/>
        <w:ind w:left="1080"/>
        <w:contextualSpacing w:val="0"/>
        <w:rPr>
          <w:rFonts w:ascii="Calibri" w:hAnsi="Calibri" w:cs="Calibri"/>
        </w:rPr>
      </w:pPr>
      <w:r>
        <w:rPr>
          <w:rFonts w:ascii="Calibri" w:hAnsi="Calibri" w:cs="Calibri"/>
        </w:rPr>
        <w:t xml:space="preserve">Remember </w:t>
      </w:r>
      <w:r w:rsidR="00DE7CDF">
        <w:rPr>
          <w:rFonts w:ascii="Calibri" w:hAnsi="Calibri" w:cs="Calibri"/>
        </w:rPr>
        <w:t xml:space="preserve">to </w:t>
      </w:r>
      <w:r w:rsidR="00996B4E" w:rsidRPr="005207F2">
        <w:rPr>
          <w:rFonts w:ascii="Calibri" w:hAnsi="Calibri" w:cs="Calibri"/>
        </w:rPr>
        <w:t xml:space="preserve">estimate </w:t>
      </w:r>
      <w:r w:rsidR="00DE7CDF">
        <w:rPr>
          <w:rFonts w:ascii="Calibri" w:hAnsi="Calibri" w:cs="Calibri"/>
        </w:rPr>
        <w:t xml:space="preserve">based on </w:t>
      </w:r>
      <w:r w:rsidR="00996B4E" w:rsidRPr="005207F2">
        <w:rPr>
          <w:rFonts w:ascii="Calibri" w:hAnsi="Calibri" w:cs="Calibri"/>
        </w:rPr>
        <w:t>bloodstream infections from all causes, not just those limited to central</w:t>
      </w:r>
      <w:r w:rsidR="00BD6A36">
        <w:rPr>
          <w:rFonts w:ascii="Calibri" w:hAnsi="Calibri" w:cs="Calibri"/>
        </w:rPr>
        <w:t>-</w:t>
      </w:r>
      <w:r w:rsidR="00996B4E" w:rsidRPr="005207F2">
        <w:rPr>
          <w:rFonts w:ascii="Calibri" w:hAnsi="Calibri" w:cs="Calibri"/>
        </w:rPr>
        <w:t xml:space="preserve">line infection bloodstream events. </w:t>
      </w:r>
    </w:p>
    <w:p w14:paraId="4588D80A" w14:textId="24927B47" w:rsidR="00996B4E" w:rsidRPr="005207F2" w:rsidRDefault="00996B4E" w:rsidP="00996B4E">
      <w:pPr>
        <w:pStyle w:val="ListParagraph"/>
        <w:numPr>
          <w:ilvl w:val="0"/>
          <w:numId w:val="17"/>
        </w:numPr>
        <w:contextualSpacing w:val="0"/>
        <w:rPr>
          <w:rFonts w:ascii="Calibri" w:hAnsi="Calibri" w:cs="Calibri"/>
        </w:rPr>
      </w:pPr>
      <w:r w:rsidRPr="00747135">
        <w:rPr>
          <w:rFonts w:ascii="Calibri" w:hAnsi="Calibri" w:cs="Calibri"/>
          <w:b/>
          <w:color w:val="007DA3" w:themeColor="accent1"/>
          <w:u w:val="single"/>
        </w:rPr>
        <w:t xml:space="preserve">MRSA </w:t>
      </w:r>
      <w:r w:rsidR="002B4E7D" w:rsidRPr="002B4E7D">
        <w:rPr>
          <w:rFonts w:ascii="Calibri" w:hAnsi="Calibri" w:cs="Calibri"/>
          <w:b/>
          <w:color w:val="007DA3" w:themeColor="accent1"/>
          <w:u w:val="single"/>
        </w:rPr>
        <w:t>Clinical Cultures:</w:t>
      </w:r>
      <w:r w:rsidRPr="005207F2">
        <w:rPr>
          <w:rFonts w:ascii="Calibri" w:hAnsi="Calibri" w:cs="Calibri"/>
        </w:rPr>
        <w:t xml:space="preserve"> </w:t>
      </w:r>
      <w:r w:rsidR="00DB6040">
        <w:rPr>
          <w:rFonts w:ascii="Calibri" w:hAnsi="Calibri" w:cs="Calibri"/>
        </w:rPr>
        <w:t>The total number of MRSA clinical cultures</w:t>
      </w:r>
      <w:r w:rsidR="00B97328" w:rsidRPr="005207F2">
        <w:rPr>
          <w:rFonts w:ascii="Calibri" w:hAnsi="Calibri" w:cs="Calibri"/>
        </w:rPr>
        <w:t xml:space="preserve"> </w:t>
      </w:r>
      <w:r w:rsidR="000662D4">
        <w:rPr>
          <w:rFonts w:ascii="Calibri" w:hAnsi="Calibri" w:cs="Calibri"/>
        </w:rPr>
        <w:t xml:space="preserve">will </w:t>
      </w:r>
      <w:r w:rsidR="00A272D0">
        <w:rPr>
          <w:rFonts w:ascii="Calibri" w:hAnsi="Calibri" w:cs="Calibri"/>
        </w:rPr>
        <w:t xml:space="preserve">help </w:t>
      </w:r>
      <w:r w:rsidR="0028057E">
        <w:rPr>
          <w:rFonts w:ascii="Calibri" w:hAnsi="Calibri" w:cs="Calibri"/>
        </w:rPr>
        <w:t xml:space="preserve">estimate </w:t>
      </w:r>
      <w:r w:rsidR="00DB6040">
        <w:rPr>
          <w:rFonts w:ascii="Calibri" w:hAnsi="Calibri" w:cs="Calibri"/>
        </w:rPr>
        <w:t xml:space="preserve">your </w:t>
      </w:r>
      <w:r w:rsidR="0028057E">
        <w:rPr>
          <w:rFonts w:ascii="Calibri" w:hAnsi="Calibri" w:cs="Calibri"/>
        </w:rPr>
        <w:t xml:space="preserve">unit’s current MRSA burden and </w:t>
      </w:r>
      <w:r w:rsidR="00DB6040">
        <w:rPr>
          <w:rFonts w:ascii="Calibri" w:hAnsi="Calibri" w:cs="Calibri"/>
        </w:rPr>
        <w:t xml:space="preserve">assess </w:t>
      </w:r>
      <w:r w:rsidRPr="005207F2">
        <w:rPr>
          <w:rFonts w:ascii="Calibri" w:hAnsi="Calibri" w:cs="Calibri"/>
        </w:rPr>
        <w:t xml:space="preserve">the </w:t>
      </w:r>
      <w:r w:rsidR="0018720D">
        <w:rPr>
          <w:rFonts w:ascii="Calibri" w:hAnsi="Calibri" w:cs="Calibri"/>
        </w:rPr>
        <w:t xml:space="preserve">potential </w:t>
      </w:r>
      <w:r w:rsidRPr="005207F2">
        <w:rPr>
          <w:rFonts w:ascii="Calibri" w:hAnsi="Calibri" w:cs="Calibri"/>
        </w:rPr>
        <w:t xml:space="preserve">benefit </w:t>
      </w:r>
      <w:r w:rsidR="0028057E">
        <w:rPr>
          <w:rFonts w:ascii="Calibri" w:hAnsi="Calibri" w:cs="Calibri"/>
        </w:rPr>
        <w:t>of decolonization</w:t>
      </w:r>
      <w:r w:rsidRPr="005207F2">
        <w:rPr>
          <w:rFonts w:ascii="Calibri" w:hAnsi="Calibri" w:cs="Calibri"/>
        </w:rPr>
        <w:t>. This can be estimated in two ways:</w:t>
      </w:r>
    </w:p>
    <w:p w14:paraId="2DD4D54B" w14:textId="378B5C11" w:rsidR="00996B4E" w:rsidRPr="005207F2" w:rsidRDefault="00996B4E" w:rsidP="00996B4E">
      <w:pPr>
        <w:pStyle w:val="ListParagraph"/>
        <w:numPr>
          <w:ilvl w:val="1"/>
          <w:numId w:val="17"/>
        </w:numPr>
        <w:contextualSpacing w:val="0"/>
        <w:rPr>
          <w:rFonts w:ascii="Calibri" w:hAnsi="Calibri" w:cs="Calibri"/>
        </w:rPr>
      </w:pPr>
      <w:r w:rsidRPr="005207F2">
        <w:rPr>
          <w:rFonts w:ascii="Calibri" w:hAnsi="Calibri" w:cs="Calibri"/>
          <w:b/>
        </w:rPr>
        <w:t>Comprehensive estimate:</w:t>
      </w:r>
      <w:r w:rsidRPr="005207F2">
        <w:rPr>
          <w:rFonts w:ascii="Calibri" w:hAnsi="Calibri" w:cs="Calibri"/>
        </w:rPr>
        <w:t xml:space="preserve"> </w:t>
      </w:r>
      <w:r w:rsidR="0018720D">
        <w:rPr>
          <w:rFonts w:ascii="Calibri" w:hAnsi="Calibri" w:cs="Calibri"/>
        </w:rPr>
        <w:t>Calculate t</w:t>
      </w:r>
      <w:r w:rsidR="0018720D" w:rsidRPr="005207F2">
        <w:rPr>
          <w:rFonts w:ascii="Calibri" w:hAnsi="Calibri" w:cs="Calibri"/>
        </w:rPr>
        <w:t xml:space="preserve">he </w:t>
      </w:r>
      <w:r w:rsidRPr="005207F2">
        <w:rPr>
          <w:rFonts w:ascii="Calibri" w:hAnsi="Calibri" w:cs="Calibri"/>
        </w:rPr>
        <w:t>percent</w:t>
      </w:r>
      <w:r w:rsidR="0018720D">
        <w:rPr>
          <w:rFonts w:ascii="Calibri" w:hAnsi="Calibri" w:cs="Calibri"/>
        </w:rPr>
        <w:t>age</w:t>
      </w:r>
      <w:r w:rsidRPr="005207F2">
        <w:rPr>
          <w:rFonts w:ascii="Calibri" w:hAnsi="Calibri" w:cs="Calibri"/>
        </w:rPr>
        <w:t xml:space="preserve"> of patients on the unit</w:t>
      </w:r>
      <w:r w:rsidR="008035E9">
        <w:rPr>
          <w:rFonts w:ascii="Calibri" w:hAnsi="Calibri" w:cs="Calibri"/>
        </w:rPr>
        <w:t xml:space="preserve"> </w:t>
      </w:r>
      <w:r w:rsidR="00057F43">
        <w:rPr>
          <w:rFonts w:ascii="Calibri" w:hAnsi="Calibri" w:cs="Calibri"/>
        </w:rPr>
        <w:t>who</w:t>
      </w:r>
      <w:r w:rsidR="00057F43" w:rsidRPr="005207F2">
        <w:rPr>
          <w:rFonts w:ascii="Calibri" w:hAnsi="Calibri" w:cs="Calibri"/>
        </w:rPr>
        <w:t xml:space="preserve"> </w:t>
      </w:r>
      <w:r w:rsidRPr="005207F2">
        <w:rPr>
          <w:rFonts w:ascii="Calibri" w:hAnsi="Calibri" w:cs="Calibri"/>
        </w:rPr>
        <w:t xml:space="preserve">have any </w:t>
      </w:r>
      <w:r w:rsidR="00E4674B">
        <w:rPr>
          <w:rFonts w:ascii="Calibri" w:hAnsi="Calibri" w:cs="Calibri"/>
        </w:rPr>
        <w:t xml:space="preserve">positive </w:t>
      </w:r>
      <w:r w:rsidRPr="005207F2">
        <w:rPr>
          <w:rFonts w:ascii="Calibri" w:hAnsi="Calibri" w:cs="Calibri"/>
        </w:rPr>
        <w:t>MRSA clinical cultures within a reliable window of time (e.g., 1 year).</w:t>
      </w:r>
    </w:p>
    <w:p w14:paraId="59077A08" w14:textId="310B4093" w:rsidR="00996B4E" w:rsidRPr="005207F2" w:rsidRDefault="00996B4E" w:rsidP="00996B4E">
      <w:pPr>
        <w:pStyle w:val="ListParagraph"/>
        <w:numPr>
          <w:ilvl w:val="1"/>
          <w:numId w:val="17"/>
        </w:numPr>
        <w:contextualSpacing w:val="0"/>
        <w:rPr>
          <w:rFonts w:ascii="Calibri" w:hAnsi="Calibri" w:cs="Calibri"/>
        </w:rPr>
      </w:pPr>
      <w:r w:rsidRPr="005207F2">
        <w:rPr>
          <w:rFonts w:ascii="Calibri" w:hAnsi="Calibri" w:cs="Calibri"/>
          <w:b/>
        </w:rPr>
        <w:t>Alternative estimate:</w:t>
      </w:r>
      <w:r w:rsidRPr="005207F2">
        <w:rPr>
          <w:rFonts w:ascii="Calibri" w:hAnsi="Calibri" w:cs="Calibri"/>
        </w:rPr>
        <w:t xml:space="preserve"> </w:t>
      </w:r>
      <w:r w:rsidR="00057F43">
        <w:rPr>
          <w:rFonts w:ascii="Calibri" w:hAnsi="Calibri" w:cs="Calibri"/>
        </w:rPr>
        <w:t>Calculate t</w:t>
      </w:r>
      <w:r w:rsidR="00057F43" w:rsidRPr="005207F2">
        <w:rPr>
          <w:rFonts w:ascii="Calibri" w:hAnsi="Calibri" w:cs="Calibri"/>
        </w:rPr>
        <w:t xml:space="preserve">he </w:t>
      </w:r>
      <w:r w:rsidRPr="005207F2">
        <w:rPr>
          <w:rFonts w:ascii="Calibri" w:hAnsi="Calibri" w:cs="Calibri"/>
        </w:rPr>
        <w:t>percent</w:t>
      </w:r>
      <w:r w:rsidR="00057F43">
        <w:rPr>
          <w:rFonts w:ascii="Calibri" w:hAnsi="Calibri" w:cs="Calibri"/>
        </w:rPr>
        <w:t>age</w:t>
      </w:r>
      <w:r w:rsidRPr="005207F2">
        <w:rPr>
          <w:rFonts w:ascii="Calibri" w:hAnsi="Calibri" w:cs="Calibri"/>
        </w:rPr>
        <w:t xml:space="preserve"> of patients on the unit</w:t>
      </w:r>
      <w:r w:rsidR="008035E9">
        <w:rPr>
          <w:rFonts w:ascii="Calibri" w:hAnsi="Calibri" w:cs="Calibri"/>
        </w:rPr>
        <w:t xml:space="preserve"> </w:t>
      </w:r>
      <w:r w:rsidR="00ED73CD">
        <w:rPr>
          <w:rFonts w:ascii="Calibri" w:hAnsi="Calibri" w:cs="Calibri"/>
        </w:rPr>
        <w:t>either infected or colonized with</w:t>
      </w:r>
      <w:r w:rsidR="00ED73CD" w:rsidRPr="005207F2">
        <w:rPr>
          <w:rFonts w:ascii="Calibri" w:hAnsi="Calibri" w:cs="Calibri"/>
        </w:rPr>
        <w:t xml:space="preserve"> </w:t>
      </w:r>
      <w:r w:rsidRPr="005207F2">
        <w:rPr>
          <w:rFonts w:ascii="Calibri" w:hAnsi="Calibri" w:cs="Calibri"/>
        </w:rPr>
        <w:t>MRSA (</w:t>
      </w:r>
      <w:r w:rsidR="000B0111">
        <w:rPr>
          <w:rFonts w:ascii="Calibri" w:hAnsi="Calibri" w:cs="Calibri"/>
        </w:rPr>
        <w:t xml:space="preserve">often </w:t>
      </w:r>
      <w:r w:rsidRPr="005207F2">
        <w:rPr>
          <w:rFonts w:ascii="Calibri" w:hAnsi="Calibri" w:cs="Calibri"/>
        </w:rPr>
        <w:t>based on a MRSA flag or tag in the medical record). Use a reliable window of time (e.g., 1 year).</w:t>
      </w:r>
      <w:r w:rsidRPr="005207F2">
        <w:rPr>
          <w:rFonts w:ascii="Calibri" w:hAnsi="Calibri" w:cs="Calibri"/>
          <w:b/>
        </w:rPr>
        <w:t xml:space="preserve"> </w:t>
      </w:r>
    </w:p>
    <w:p w14:paraId="711C2379" w14:textId="16DA8E0A" w:rsidR="00F07AB4" w:rsidRDefault="004857C0" w:rsidP="0016443A">
      <w:pPr>
        <w:pStyle w:val="Heading2"/>
        <w:tabs>
          <w:tab w:val="left" w:pos="90"/>
        </w:tabs>
        <w:ind w:firstLine="0"/>
      </w:pPr>
      <w:r>
        <w:tab/>
      </w:r>
      <w:r w:rsidR="009A714E">
        <w:t>I</w:t>
      </w:r>
      <w:r w:rsidR="009A714E" w:rsidRPr="009A714E">
        <w:t xml:space="preserve">dentify Whether You </w:t>
      </w:r>
      <w:r w:rsidR="009A714E">
        <w:t xml:space="preserve">Will </w:t>
      </w:r>
      <w:r w:rsidR="009A714E" w:rsidRPr="009A714E">
        <w:t xml:space="preserve">Use </w:t>
      </w:r>
      <w:r>
        <w:t>a</w:t>
      </w:r>
      <w:r w:rsidR="009A714E" w:rsidRPr="009A714E">
        <w:t xml:space="preserve"> Universal </w:t>
      </w:r>
      <w:r>
        <w:t>o</w:t>
      </w:r>
      <w:r w:rsidR="009A714E" w:rsidRPr="009A714E">
        <w:t xml:space="preserve">r Targeted Decolonization </w:t>
      </w:r>
      <w:r>
        <w:tab/>
      </w:r>
      <w:r w:rsidR="009A714E" w:rsidRPr="009A714E">
        <w:t>Strategy</w:t>
      </w:r>
    </w:p>
    <w:p w14:paraId="2FBEB2C0" w14:textId="4897A3B7" w:rsidR="004914D9" w:rsidRPr="005207F2" w:rsidRDefault="005C407B" w:rsidP="004914D9">
      <w:r w:rsidRPr="005C407B">
        <w:t xml:space="preserve">There are two </w:t>
      </w:r>
      <w:r w:rsidR="00FF2F60">
        <w:t xml:space="preserve">primary </w:t>
      </w:r>
      <w:r w:rsidR="00AF70DB">
        <w:t xml:space="preserve">approaches to </w:t>
      </w:r>
      <w:r w:rsidRPr="005C407B">
        <w:t xml:space="preserve">decolonization: </w:t>
      </w:r>
      <w:r w:rsidRPr="005C407B">
        <w:rPr>
          <w:b/>
          <w:bCs/>
        </w:rPr>
        <w:t>Universal Decolonization</w:t>
      </w:r>
      <w:r w:rsidRPr="005C407B">
        <w:t xml:space="preserve"> and </w:t>
      </w:r>
      <w:r w:rsidRPr="005C407B">
        <w:rPr>
          <w:b/>
          <w:bCs/>
        </w:rPr>
        <w:t>Targeted Decolonization</w:t>
      </w:r>
      <w:r w:rsidRPr="005C407B">
        <w:t>.</w:t>
      </w:r>
      <w:r w:rsidR="00B916BE">
        <w:t xml:space="preserve"> </w:t>
      </w:r>
      <w:r w:rsidR="0052044B">
        <w:t xml:space="preserve">Your choice of </w:t>
      </w:r>
      <w:r w:rsidR="00CC0DEA" w:rsidRPr="00CC0DEA">
        <w:t xml:space="preserve">strategy will significantly </w:t>
      </w:r>
      <w:r w:rsidR="0052044B">
        <w:t xml:space="preserve">affect </w:t>
      </w:r>
      <w:r w:rsidR="00CC0DEA" w:rsidRPr="00CC0DEA">
        <w:t xml:space="preserve">your </w:t>
      </w:r>
      <w:r w:rsidR="0052044B">
        <w:t xml:space="preserve">planning and </w:t>
      </w:r>
      <w:r w:rsidR="00CC0DEA" w:rsidRPr="00CC0DEA">
        <w:t>implementation</w:t>
      </w:r>
      <w:r w:rsidR="0052044B">
        <w:t xml:space="preserve"> process</w:t>
      </w:r>
      <w:r w:rsidR="006C6ACE">
        <w:t>.</w:t>
      </w:r>
      <w:r w:rsidR="00CC0DEA">
        <w:t xml:space="preserve"> Your </w:t>
      </w:r>
      <w:r w:rsidR="008C3835">
        <w:t>assessment of current MRSA status</w:t>
      </w:r>
      <w:r w:rsidR="00AC0FCF">
        <w:t xml:space="preserve"> </w:t>
      </w:r>
      <w:r w:rsidR="00CC0DEA">
        <w:t xml:space="preserve">conducted </w:t>
      </w:r>
      <w:r w:rsidR="00AC0FCF">
        <w:t>in the previous step</w:t>
      </w:r>
      <w:r w:rsidR="008C3835">
        <w:t xml:space="preserve"> will be </w:t>
      </w:r>
      <w:r w:rsidR="00C14D6E">
        <w:t xml:space="preserve">valuable </w:t>
      </w:r>
      <w:r w:rsidR="00AC0FCF">
        <w:t xml:space="preserve">in determining </w:t>
      </w:r>
      <w:r w:rsidR="00752138">
        <w:t xml:space="preserve">which strategy will </w:t>
      </w:r>
      <w:r w:rsidR="00877655">
        <w:t xml:space="preserve">be of </w:t>
      </w:r>
      <w:r w:rsidR="00752138">
        <w:t>most benefit to your unit.</w:t>
      </w:r>
      <w:r w:rsidR="004914D9">
        <w:t xml:space="preserve"> </w:t>
      </w:r>
      <w:r w:rsidR="00752138">
        <w:t xml:space="preserve">For more detailed </w:t>
      </w:r>
      <w:r w:rsidR="00476076">
        <w:t>guidance</w:t>
      </w:r>
      <w:r w:rsidR="00752138">
        <w:t xml:space="preserve">, please </w:t>
      </w:r>
      <w:r w:rsidR="00476076">
        <w:t xml:space="preserve">refer to </w:t>
      </w:r>
      <w:r w:rsidR="004914D9">
        <w:t>the document</w:t>
      </w:r>
      <w:r w:rsidR="00752138">
        <w:t xml:space="preserve">: </w:t>
      </w:r>
      <w:r w:rsidR="004914D9">
        <w:t>“</w:t>
      </w:r>
      <w:hyperlink r:id="rId13" w:history="1">
        <w:r w:rsidR="004914D9" w:rsidRPr="00134B8C">
          <w:rPr>
            <w:rStyle w:val="Hyperlink"/>
            <w:b/>
            <w:bCs/>
          </w:rPr>
          <w:t>Which</w:t>
        </w:r>
        <w:r w:rsidR="004914D9" w:rsidRPr="00134B8C">
          <w:rPr>
            <w:rStyle w:val="Hyperlink"/>
            <w:b/>
            <w:bCs/>
          </w:rPr>
          <w:t xml:space="preserve"> </w:t>
        </w:r>
        <w:r w:rsidR="004914D9" w:rsidRPr="00134B8C">
          <w:rPr>
            <w:rStyle w:val="Hyperlink"/>
            <w:b/>
            <w:bCs/>
          </w:rPr>
          <w:t>Type of Decolonization Would Work Best in My Unit?</w:t>
        </w:r>
      </w:hyperlink>
      <w:r w:rsidR="004914D9" w:rsidRPr="00752138">
        <w:t>”</w:t>
      </w:r>
    </w:p>
    <w:p w14:paraId="438DC41D" w14:textId="77777777" w:rsidR="00DC319A" w:rsidRDefault="00043A9A" w:rsidP="00601B53">
      <w:r>
        <w:t xml:space="preserve">In </w:t>
      </w:r>
      <w:r w:rsidR="00D80A8F" w:rsidRPr="0016443A">
        <w:rPr>
          <w:b/>
          <w:bCs/>
        </w:rPr>
        <w:t xml:space="preserve">Universal </w:t>
      </w:r>
      <w:r w:rsidR="008D3851" w:rsidRPr="0016443A">
        <w:rPr>
          <w:b/>
          <w:bCs/>
        </w:rPr>
        <w:t>D</w:t>
      </w:r>
      <w:r w:rsidR="00D80A8F" w:rsidRPr="0016443A">
        <w:rPr>
          <w:b/>
          <w:bCs/>
        </w:rPr>
        <w:t>ecolonization</w:t>
      </w:r>
      <w:r>
        <w:t>,</w:t>
      </w:r>
      <w:r w:rsidR="00D80A8F">
        <w:t xml:space="preserve"> </w:t>
      </w:r>
      <w:r>
        <w:t>a</w:t>
      </w:r>
      <w:r w:rsidR="00D80A8F">
        <w:t>ll patients in a unit receive decolonization, regardless of individual characteristics.</w:t>
      </w:r>
      <w:r w:rsidR="00B916BE">
        <w:t xml:space="preserve"> </w:t>
      </w:r>
      <w:r w:rsidR="00601B53">
        <w:t xml:space="preserve">In </w:t>
      </w:r>
      <w:r w:rsidR="00B916BE" w:rsidRPr="0016443A">
        <w:rPr>
          <w:b/>
          <w:bCs/>
        </w:rPr>
        <w:t xml:space="preserve">Targeted </w:t>
      </w:r>
      <w:r w:rsidR="008D3851" w:rsidRPr="0016443A">
        <w:rPr>
          <w:b/>
          <w:bCs/>
        </w:rPr>
        <w:t>D</w:t>
      </w:r>
      <w:r w:rsidR="00B916BE" w:rsidRPr="0016443A">
        <w:rPr>
          <w:b/>
          <w:bCs/>
        </w:rPr>
        <w:t>ecolonization</w:t>
      </w:r>
      <w:r w:rsidR="00601B53">
        <w:t>,</w:t>
      </w:r>
      <w:r w:rsidR="00B916BE">
        <w:t xml:space="preserve"> </w:t>
      </w:r>
      <w:r w:rsidR="00601B53">
        <w:t>o</w:t>
      </w:r>
      <w:r w:rsidR="00B916BE">
        <w:t>nly patients who meet criteria for higher risk receive decolonization.</w:t>
      </w:r>
      <w:r w:rsidR="00A9783D">
        <w:t xml:space="preserve"> </w:t>
      </w:r>
    </w:p>
    <w:p w14:paraId="453CFA87" w14:textId="59210502" w:rsidR="00601B53" w:rsidRPr="005C407B" w:rsidRDefault="00843A20" w:rsidP="00601B53">
      <w:r w:rsidRPr="00843A20">
        <w:t xml:space="preserve">By and large, intensive care units (ICUs) should implement </w:t>
      </w:r>
      <w:r w:rsidR="00837279">
        <w:t>u</w:t>
      </w:r>
      <w:r w:rsidR="00AA4068">
        <w:t xml:space="preserve">niversal </w:t>
      </w:r>
      <w:r w:rsidR="00D555FC">
        <w:t>decolonization</w:t>
      </w:r>
      <w:r w:rsidR="00AD0AAA">
        <w:t>;</w:t>
      </w:r>
      <w:r w:rsidR="006A1F52">
        <w:t xml:space="preserve"> </w:t>
      </w:r>
      <w:r w:rsidR="00243A2D">
        <w:t>evi</w:t>
      </w:r>
      <w:r w:rsidR="002E35AD">
        <w:t>dence consistently supports universal over targeted decolonization in the ICU</w:t>
      </w:r>
      <w:r w:rsidR="001249FF">
        <w:t xml:space="preserve"> setting</w:t>
      </w:r>
      <w:r w:rsidR="002E35AD">
        <w:t>.</w:t>
      </w:r>
      <w:r w:rsidR="002E35AD">
        <w:rPr>
          <w:vertAlign w:val="superscript"/>
        </w:rPr>
        <w:t>5-7</w:t>
      </w:r>
      <w:r w:rsidR="00A9783D">
        <w:t xml:space="preserve"> </w:t>
      </w:r>
      <w:r w:rsidR="006B74BD">
        <w:t>F</w:t>
      </w:r>
      <w:r w:rsidR="00AD0AAA">
        <w:t xml:space="preserve">or non-ICUs, </w:t>
      </w:r>
      <w:r w:rsidR="00A9783D">
        <w:t xml:space="preserve">targeted </w:t>
      </w:r>
      <w:r w:rsidR="00D555FC">
        <w:t xml:space="preserve">decolonization is </w:t>
      </w:r>
      <w:r w:rsidR="00AD0AAA">
        <w:t>generally more suitable</w:t>
      </w:r>
      <w:r w:rsidR="00A9783D">
        <w:t>.</w:t>
      </w:r>
      <w:r w:rsidR="003D4A66">
        <w:rPr>
          <w:vertAlign w:val="superscript"/>
        </w:rPr>
        <w:t>8</w:t>
      </w:r>
      <w:r w:rsidR="00EC5352">
        <w:t xml:space="preserve"> </w:t>
      </w:r>
      <w:r w:rsidR="00AD0AAA">
        <w:t>However,</w:t>
      </w:r>
      <w:r w:rsidR="003D4A66">
        <w:t xml:space="preserve"> specific</w:t>
      </w:r>
      <w:r w:rsidR="00AD0AAA">
        <w:t xml:space="preserve"> n</w:t>
      </w:r>
      <w:r w:rsidR="00EC5352">
        <w:t xml:space="preserve">on-ICUs </w:t>
      </w:r>
      <w:r w:rsidR="00BD6A36">
        <w:t xml:space="preserve">that </w:t>
      </w:r>
      <w:r w:rsidR="003D4A66">
        <w:t>often see</w:t>
      </w:r>
      <w:r w:rsidR="00EC5352">
        <w:t xml:space="preserve"> a </w:t>
      </w:r>
      <w:r w:rsidR="00C832FC">
        <w:t xml:space="preserve">large </w:t>
      </w:r>
      <w:r w:rsidR="00EC5352">
        <w:t xml:space="preserve">number of patients </w:t>
      </w:r>
      <w:r w:rsidR="003D4A66">
        <w:t xml:space="preserve">who meet high-risk criteria </w:t>
      </w:r>
      <w:r w:rsidR="00EC5352">
        <w:t xml:space="preserve">may </w:t>
      </w:r>
      <w:r w:rsidR="003D4A66">
        <w:t xml:space="preserve">want to consider </w:t>
      </w:r>
      <w:r w:rsidR="00EC5352">
        <w:t>a universal approach.</w:t>
      </w:r>
    </w:p>
    <w:p w14:paraId="26E0DED8" w14:textId="7D83B54C" w:rsidR="009A714E" w:rsidRPr="009A714E" w:rsidRDefault="000E1F3B" w:rsidP="0016443A">
      <w:r w:rsidRPr="00F0361C">
        <w:rPr>
          <w:b/>
          <w:bCs/>
        </w:rPr>
        <w:t>Criteria for high</w:t>
      </w:r>
      <w:r w:rsidR="00BD6A36">
        <w:rPr>
          <w:b/>
          <w:bCs/>
        </w:rPr>
        <w:t xml:space="preserve"> </w:t>
      </w:r>
      <w:r w:rsidRPr="00F0361C">
        <w:rPr>
          <w:b/>
          <w:bCs/>
        </w:rPr>
        <w:t>risk</w:t>
      </w:r>
      <w:r>
        <w:t xml:space="preserve"> </w:t>
      </w:r>
      <w:r w:rsidR="005C407B" w:rsidRPr="005C407B">
        <w:t xml:space="preserve">include patients </w:t>
      </w:r>
      <w:r w:rsidR="00E71550">
        <w:t>with</w:t>
      </w:r>
      <w:r w:rsidR="005C407B" w:rsidRPr="005C407B">
        <w:t xml:space="preserve"> medical devices such as central lines, midline catheters, PICC lines, and lumbar drains, as these devices </w:t>
      </w:r>
      <w:r w:rsidR="00E71550">
        <w:t xml:space="preserve">can </w:t>
      </w:r>
      <w:r w:rsidR="00877655">
        <w:t>function</w:t>
      </w:r>
      <w:r w:rsidR="00E71550">
        <w:t xml:space="preserve"> </w:t>
      </w:r>
      <w:r w:rsidR="005C407B" w:rsidRPr="005C407B">
        <w:t>as entry points for infection.</w:t>
      </w:r>
      <w:r w:rsidR="00E71550">
        <w:t xml:space="preserve"> </w:t>
      </w:r>
      <w:r w:rsidR="005C407B" w:rsidRPr="005C407B">
        <w:t xml:space="preserve">Alternatively, </w:t>
      </w:r>
      <w:r>
        <w:t xml:space="preserve">you may </w:t>
      </w:r>
      <w:r w:rsidR="00E71550">
        <w:t xml:space="preserve">opt </w:t>
      </w:r>
      <w:r>
        <w:t xml:space="preserve">to </w:t>
      </w:r>
      <w:r w:rsidR="005C407B" w:rsidRPr="005C407B">
        <w:t xml:space="preserve">target patients </w:t>
      </w:r>
      <w:r w:rsidR="005F633D">
        <w:t xml:space="preserve">who are </w:t>
      </w:r>
      <w:r w:rsidR="005C407B" w:rsidRPr="005C407B">
        <w:t>infected or colonized with MRSA based on screening results or patient history.</w:t>
      </w:r>
      <w:r>
        <w:t xml:space="preserve"> </w:t>
      </w:r>
    </w:p>
    <w:p w14:paraId="6AB109BC" w14:textId="6891F0AE" w:rsidR="00C67D80" w:rsidRPr="005207F2" w:rsidRDefault="00C67D80" w:rsidP="00116E08">
      <w:pPr>
        <w:pStyle w:val="Heading2"/>
      </w:pPr>
      <w:r w:rsidRPr="005207F2">
        <w:lastRenderedPageBreak/>
        <w:t xml:space="preserve">Garner Institutional Support </w:t>
      </w:r>
      <w:proofErr w:type="gramStart"/>
      <w:r w:rsidR="00F07AB4">
        <w:t>F</w:t>
      </w:r>
      <w:r w:rsidRPr="005207F2">
        <w:t>rom</w:t>
      </w:r>
      <w:proofErr w:type="gramEnd"/>
      <w:r w:rsidRPr="005207F2">
        <w:t xml:space="preserve"> Key Stakeholders </w:t>
      </w:r>
    </w:p>
    <w:p w14:paraId="24CF72A0" w14:textId="41AF6168" w:rsidR="00C67D80" w:rsidRPr="005207F2" w:rsidRDefault="00657BC6" w:rsidP="00C67D80">
      <w:r>
        <w:t>S</w:t>
      </w:r>
      <w:r w:rsidR="00C67D80" w:rsidRPr="005207F2">
        <w:t>ecur</w:t>
      </w:r>
      <w:r>
        <w:t>ing</w:t>
      </w:r>
      <w:r w:rsidR="00C67D80" w:rsidRPr="005207F2">
        <w:t xml:space="preserve"> the support of key stakeholders and partners within your institution</w:t>
      </w:r>
      <w:r>
        <w:t xml:space="preserve"> early in the process is crucial</w:t>
      </w:r>
      <w:r w:rsidR="00C67D80" w:rsidRPr="005207F2">
        <w:t>. Below</w:t>
      </w:r>
      <w:r>
        <w:t xml:space="preserve"> are some actions </w:t>
      </w:r>
      <w:r w:rsidR="00C67D80" w:rsidRPr="005207F2">
        <w:t xml:space="preserve">that you can take </w:t>
      </w:r>
      <w:r>
        <w:t xml:space="preserve">to </w:t>
      </w:r>
      <w:r w:rsidR="00C67D80" w:rsidRPr="005207F2">
        <w:t xml:space="preserve">help you </w:t>
      </w:r>
      <w:r>
        <w:t xml:space="preserve">gain </w:t>
      </w:r>
      <w:r w:rsidR="00C67D80" w:rsidRPr="005207F2">
        <w:t xml:space="preserve">institutional support: </w:t>
      </w:r>
    </w:p>
    <w:p w14:paraId="456D2B3B" w14:textId="3DACB262" w:rsidR="00C67D80" w:rsidRPr="005207F2" w:rsidRDefault="00B328FB" w:rsidP="00C67D80">
      <w:pPr>
        <w:pStyle w:val="ListParagraph"/>
        <w:numPr>
          <w:ilvl w:val="0"/>
          <w:numId w:val="18"/>
        </w:numPr>
        <w:ind w:left="360"/>
        <w:contextualSpacing w:val="0"/>
        <w:rPr>
          <w:rFonts w:ascii="Calibri" w:hAnsi="Calibri" w:cs="Calibri"/>
          <w:szCs w:val="24"/>
        </w:rPr>
      </w:pPr>
      <w:r w:rsidRPr="005207F2">
        <w:rPr>
          <w:rFonts w:ascii="Calibri" w:hAnsi="Calibri" w:cs="Calibri"/>
          <w:b/>
          <w:szCs w:val="24"/>
        </w:rPr>
        <w:t xml:space="preserve">Prepare a </w:t>
      </w:r>
      <w:r w:rsidR="00C67D80" w:rsidRPr="005207F2">
        <w:rPr>
          <w:rFonts w:ascii="Calibri" w:hAnsi="Calibri" w:cs="Calibri"/>
          <w:b/>
          <w:szCs w:val="24"/>
        </w:rPr>
        <w:t>Business Case:</w:t>
      </w:r>
      <w:r w:rsidR="00C67D80" w:rsidRPr="005207F2">
        <w:rPr>
          <w:rFonts w:ascii="Calibri" w:hAnsi="Calibri" w:cs="Calibri"/>
          <w:szCs w:val="24"/>
        </w:rPr>
        <w:t xml:space="preserve"> If needed, you may consider developing a business case for hospital leadership and other stakeholders. Basic steps needed to develop a business case for infection prevention strategies have been well described by Perencevich and colleagues.</w:t>
      </w:r>
      <w:r w:rsidR="00C67D80" w:rsidRPr="005207F2">
        <w:rPr>
          <w:rFonts w:ascii="Calibri" w:hAnsi="Calibri" w:cs="Calibri"/>
          <w:szCs w:val="24"/>
          <w:vertAlign w:val="superscript"/>
        </w:rPr>
        <w:t>11</w:t>
      </w:r>
    </w:p>
    <w:p w14:paraId="08205EBD" w14:textId="1979BEFB" w:rsidR="00C67D80" w:rsidRPr="00A8307E" w:rsidRDefault="00EC2853" w:rsidP="00C67D80">
      <w:pPr>
        <w:pStyle w:val="ListParagraph"/>
        <w:numPr>
          <w:ilvl w:val="1"/>
          <w:numId w:val="18"/>
        </w:numPr>
        <w:contextualSpacing w:val="0"/>
        <w:rPr>
          <w:rFonts w:ascii="Calibri" w:hAnsi="Calibri" w:cs="Calibri"/>
          <w:b/>
          <w:bCs/>
          <w:i/>
          <w:iCs/>
          <w:szCs w:val="24"/>
        </w:rPr>
      </w:pPr>
      <w:r w:rsidRPr="00A8307E">
        <w:rPr>
          <w:rFonts w:ascii="Calibri" w:hAnsi="Calibri" w:cs="Calibri"/>
          <w:b/>
          <w:bCs/>
          <w:i/>
          <w:iCs/>
          <w:szCs w:val="24"/>
        </w:rPr>
        <w:t>Key elements to include in your business case</w:t>
      </w:r>
      <w:r w:rsidR="00C67D80" w:rsidRPr="00A8307E">
        <w:rPr>
          <w:rFonts w:ascii="Calibri" w:hAnsi="Calibri" w:cs="Calibri"/>
          <w:b/>
          <w:bCs/>
          <w:i/>
          <w:iCs/>
          <w:szCs w:val="24"/>
        </w:rPr>
        <w:t>:</w:t>
      </w:r>
    </w:p>
    <w:p w14:paraId="5CDF2624" w14:textId="619856E0" w:rsidR="00C67D80" w:rsidRPr="00F0361C" w:rsidRDefault="00C67D80" w:rsidP="00C67D80">
      <w:pPr>
        <w:pStyle w:val="ListParagraph"/>
        <w:numPr>
          <w:ilvl w:val="2"/>
          <w:numId w:val="18"/>
        </w:numPr>
        <w:contextualSpacing w:val="0"/>
        <w:rPr>
          <w:rFonts w:ascii="Calibri" w:hAnsi="Calibri" w:cs="Calibri"/>
          <w:szCs w:val="24"/>
        </w:rPr>
      </w:pPr>
      <w:r w:rsidRPr="005207F2">
        <w:rPr>
          <w:rFonts w:ascii="Calibri" w:hAnsi="Calibri" w:cs="Calibri"/>
          <w:szCs w:val="24"/>
        </w:rPr>
        <w:t>Number of annual unit-specific bloodstream infections</w:t>
      </w:r>
      <w:r w:rsidR="00E56AEE">
        <w:rPr>
          <w:rFonts w:ascii="Calibri" w:hAnsi="Calibri" w:cs="Calibri"/>
          <w:szCs w:val="24"/>
        </w:rPr>
        <w:t>.</w:t>
      </w:r>
      <w:r w:rsidR="00571288">
        <w:rPr>
          <w:rFonts w:ascii="Calibri" w:hAnsi="Calibri" w:cs="Calibri"/>
          <w:szCs w:val="24"/>
        </w:rPr>
        <w:t xml:space="preserve"> </w:t>
      </w:r>
      <w:r w:rsidR="00571288" w:rsidRPr="00F0361C">
        <w:rPr>
          <w:rFonts w:ascii="Calibri" w:hAnsi="Calibri" w:cs="Calibri"/>
          <w:szCs w:val="24"/>
        </w:rPr>
        <w:t>For Targeted Decolonization,</w:t>
      </w:r>
      <w:r w:rsidRPr="00F0361C">
        <w:rPr>
          <w:rFonts w:ascii="Calibri" w:hAnsi="Calibri" w:cs="Calibri"/>
          <w:szCs w:val="24"/>
        </w:rPr>
        <w:t xml:space="preserve"> </w:t>
      </w:r>
      <w:r w:rsidR="00211791">
        <w:rPr>
          <w:rFonts w:ascii="Calibri" w:hAnsi="Calibri" w:cs="Calibri"/>
          <w:szCs w:val="24"/>
        </w:rPr>
        <w:t xml:space="preserve">use the number of annual unit-specific bloodstream infections </w:t>
      </w:r>
      <w:r w:rsidRPr="00F0361C">
        <w:rPr>
          <w:rFonts w:ascii="Calibri" w:hAnsi="Calibri" w:cs="Calibri"/>
          <w:szCs w:val="24"/>
        </w:rPr>
        <w:t xml:space="preserve">among patients </w:t>
      </w:r>
      <w:r w:rsidR="00FA6B0B" w:rsidRPr="00F0361C">
        <w:rPr>
          <w:rFonts w:ascii="Calibri" w:hAnsi="Calibri" w:cs="Calibri"/>
          <w:szCs w:val="24"/>
        </w:rPr>
        <w:t>who meet criteria</w:t>
      </w:r>
      <w:r w:rsidR="00E56AEE">
        <w:rPr>
          <w:rFonts w:ascii="Calibri" w:hAnsi="Calibri" w:cs="Calibri"/>
          <w:szCs w:val="24"/>
        </w:rPr>
        <w:t>.</w:t>
      </w:r>
    </w:p>
    <w:p w14:paraId="7499FF79" w14:textId="07B2CAF8" w:rsidR="00C62156" w:rsidRDefault="005C5E78" w:rsidP="00A8307E">
      <w:pPr>
        <w:pStyle w:val="ListParagraph"/>
        <w:numPr>
          <w:ilvl w:val="4"/>
          <w:numId w:val="18"/>
        </w:numPr>
        <w:ind w:left="2520"/>
        <w:contextualSpacing w:val="0"/>
        <w:rPr>
          <w:rFonts w:cstheme="minorHAnsi"/>
        </w:rPr>
      </w:pPr>
      <w:r>
        <w:rPr>
          <w:rFonts w:cstheme="minorHAnsi"/>
        </w:rPr>
        <w:t>T</w:t>
      </w:r>
      <w:r w:rsidR="00812B14" w:rsidRPr="00C0225F">
        <w:rPr>
          <w:rFonts w:cstheme="minorHAnsi"/>
        </w:rPr>
        <w:t>he REDUCE-MRSA Trial</w:t>
      </w:r>
      <w:r w:rsidR="00EE3CE9">
        <w:rPr>
          <w:rFonts w:cstheme="minorHAnsi"/>
          <w:vertAlign w:val="superscript"/>
        </w:rPr>
        <w:t>7</w:t>
      </w:r>
      <w:r w:rsidR="00DE2ACD">
        <w:rPr>
          <w:rFonts w:cstheme="minorHAnsi"/>
        </w:rPr>
        <w:t xml:space="preserve"> implemented</w:t>
      </w:r>
      <w:r w:rsidR="00C62156">
        <w:rPr>
          <w:rFonts w:cstheme="minorHAnsi"/>
        </w:rPr>
        <w:t xml:space="preserve"> </w:t>
      </w:r>
      <w:r w:rsidR="004E7FF4">
        <w:rPr>
          <w:rFonts w:cstheme="minorHAnsi"/>
        </w:rPr>
        <w:t>U</w:t>
      </w:r>
      <w:r w:rsidR="00812B14" w:rsidRPr="00C0225F">
        <w:rPr>
          <w:rFonts w:cstheme="minorHAnsi"/>
        </w:rPr>
        <w:t xml:space="preserve">niversal </w:t>
      </w:r>
      <w:r w:rsidR="004E7FF4">
        <w:rPr>
          <w:rFonts w:cstheme="minorHAnsi"/>
        </w:rPr>
        <w:t>D</w:t>
      </w:r>
      <w:r w:rsidR="00812B14" w:rsidRPr="00C0225F">
        <w:rPr>
          <w:rFonts w:cstheme="minorHAnsi"/>
        </w:rPr>
        <w:t>ecolonization</w:t>
      </w:r>
      <w:r w:rsidR="00DE2ACD">
        <w:rPr>
          <w:rFonts w:cstheme="minorHAnsi"/>
        </w:rPr>
        <w:t xml:space="preserve"> in the ICU, resulting</w:t>
      </w:r>
      <w:r w:rsidR="00812B14" w:rsidRPr="00C0225F">
        <w:rPr>
          <w:rFonts w:cstheme="minorHAnsi"/>
        </w:rPr>
        <w:t xml:space="preserve"> in a 44 percent reduction in bloodstream infections from all causes</w:t>
      </w:r>
      <w:r w:rsidR="00DE2ACD">
        <w:rPr>
          <w:rFonts w:cstheme="minorHAnsi"/>
        </w:rPr>
        <w:t>.</w:t>
      </w:r>
    </w:p>
    <w:p w14:paraId="77C716BB" w14:textId="3FE4D0F7" w:rsidR="00C67D80" w:rsidRPr="00C62156" w:rsidRDefault="005C5E78" w:rsidP="00A8307E">
      <w:pPr>
        <w:pStyle w:val="ListParagraph"/>
        <w:numPr>
          <w:ilvl w:val="4"/>
          <w:numId w:val="18"/>
        </w:numPr>
        <w:ind w:left="2520"/>
        <w:contextualSpacing w:val="0"/>
        <w:rPr>
          <w:rFonts w:cstheme="minorHAnsi"/>
        </w:rPr>
      </w:pPr>
      <w:r>
        <w:rPr>
          <w:rFonts w:ascii="Calibri" w:hAnsi="Calibri" w:cs="Calibri"/>
        </w:rPr>
        <w:t>T</w:t>
      </w:r>
      <w:r w:rsidRPr="00C62156">
        <w:rPr>
          <w:rFonts w:ascii="Calibri" w:hAnsi="Calibri" w:cs="Calibri"/>
        </w:rPr>
        <w:t xml:space="preserve">he </w:t>
      </w:r>
      <w:r w:rsidR="00C67D80" w:rsidRPr="00C62156">
        <w:rPr>
          <w:rFonts w:ascii="Calibri" w:hAnsi="Calibri" w:cs="Calibri"/>
        </w:rPr>
        <w:t>ABATE Infection Trial</w:t>
      </w:r>
      <w:r w:rsidR="00EE3CE9">
        <w:rPr>
          <w:rFonts w:ascii="Calibri" w:hAnsi="Calibri" w:cs="Calibri"/>
          <w:vertAlign w:val="superscript"/>
        </w:rPr>
        <w:t>8</w:t>
      </w:r>
      <w:r w:rsidR="00C67D80" w:rsidRPr="00C62156">
        <w:rPr>
          <w:rFonts w:ascii="Calibri" w:hAnsi="Calibri" w:cs="Calibri"/>
        </w:rPr>
        <w:t xml:space="preserve"> </w:t>
      </w:r>
      <w:r w:rsidR="00DE5321">
        <w:rPr>
          <w:rFonts w:ascii="Calibri" w:hAnsi="Calibri" w:cs="Calibri"/>
        </w:rPr>
        <w:t>was conducted among non-ICUs,</w:t>
      </w:r>
      <w:r w:rsidR="00DC6D59">
        <w:rPr>
          <w:rFonts w:ascii="Calibri" w:hAnsi="Calibri" w:cs="Calibri"/>
        </w:rPr>
        <w:t xml:space="preserve"> where it</w:t>
      </w:r>
      <w:r w:rsidR="00DE5321">
        <w:rPr>
          <w:rFonts w:ascii="Calibri" w:hAnsi="Calibri" w:cs="Calibri"/>
        </w:rPr>
        <w:t xml:space="preserve"> showed </w:t>
      </w:r>
      <w:r w:rsidR="00C67D80" w:rsidRPr="00C62156">
        <w:rPr>
          <w:rFonts w:ascii="Calibri" w:hAnsi="Calibri" w:cs="Calibri"/>
        </w:rPr>
        <w:t>a 31</w:t>
      </w:r>
      <w:r w:rsidR="00F1501C">
        <w:rPr>
          <w:rFonts w:ascii="Calibri" w:hAnsi="Calibri" w:cs="Calibri"/>
        </w:rPr>
        <w:t xml:space="preserve"> percent</w:t>
      </w:r>
      <w:r w:rsidR="00C67D80" w:rsidRPr="00C62156">
        <w:rPr>
          <w:rFonts w:ascii="Calibri" w:hAnsi="Calibri" w:cs="Calibri"/>
        </w:rPr>
        <w:t xml:space="preserve"> reduction in bloodstream infections among patients with medical devices</w:t>
      </w:r>
      <w:r w:rsidR="00DC6D59">
        <w:rPr>
          <w:rFonts w:ascii="Calibri" w:hAnsi="Calibri" w:cs="Calibri"/>
        </w:rPr>
        <w:t>.</w:t>
      </w:r>
    </w:p>
    <w:p w14:paraId="08E8FEA0" w14:textId="2C49C709" w:rsidR="00C67D80" w:rsidRPr="005207F2" w:rsidRDefault="00C67D80" w:rsidP="00C67D80">
      <w:pPr>
        <w:pStyle w:val="ListParagraph"/>
        <w:numPr>
          <w:ilvl w:val="2"/>
          <w:numId w:val="18"/>
        </w:numPr>
        <w:contextualSpacing w:val="0"/>
        <w:rPr>
          <w:rFonts w:ascii="Calibri" w:hAnsi="Calibri" w:cs="Calibri"/>
          <w:szCs w:val="24"/>
        </w:rPr>
      </w:pPr>
      <w:r w:rsidRPr="005207F2">
        <w:rPr>
          <w:rFonts w:ascii="Calibri" w:hAnsi="Calibri" w:cs="Calibri"/>
          <w:szCs w:val="24"/>
        </w:rPr>
        <w:t>Estimated excess cost of a unit-attributable bloodstream infection</w:t>
      </w:r>
      <w:r w:rsidR="00AC25EE">
        <w:rPr>
          <w:rFonts w:ascii="Calibri" w:hAnsi="Calibri" w:cs="Calibri"/>
          <w:szCs w:val="24"/>
        </w:rPr>
        <w:t xml:space="preserve">. This </w:t>
      </w:r>
      <w:r w:rsidRPr="005207F2">
        <w:rPr>
          <w:rFonts w:ascii="Calibri" w:hAnsi="Calibri" w:cs="Calibri"/>
          <w:szCs w:val="24"/>
        </w:rPr>
        <w:t xml:space="preserve">is </w:t>
      </w:r>
      <w:r w:rsidR="00AC25EE">
        <w:rPr>
          <w:rFonts w:ascii="Calibri" w:hAnsi="Calibri" w:cs="Calibri"/>
          <w:szCs w:val="24"/>
        </w:rPr>
        <w:t xml:space="preserve">around </w:t>
      </w:r>
      <w:r w:rsidRPr="005207F2">
        <w:rPr>
          <w:rFonts w:ascii="Calibri" w:hAnsi="Calibri" w:cs="Calibri"/>
          <w:szCs w:val="24"/>
        </w:rPr>
        <w:t>$18,000 ($7,000</w:t>
      </w:r>
      <w:r w:rsidR="00635FB5">
        <w:rPr>
          <w:rFonts w:cstheme="minorHAnsi"/>
          <w:sz w:val="18"/>
          <w:szCs w:val="18"/>
        </w:rPr>
        <w:t>–</w:t>
      </w:r>
      <w:r w:rsidRPr="005207F2">
        <w:rPr>
          <w:rFonts w:ascii="Calibri" w:hAnsi="Calibri" w:cs="Calibri"/>
          <w:szCs w:val="24"/>
        </w:rPr>
        <w:t>$55,000) based on several commonly cited sources.</w:t>
      </w:r>
      <w:r w:rsidRPr="005207F2">
        <w:rPr>
          <w:rFonts w:ascii="Calibri" w:hAnsi="Calibri" w:cs="Calibri"/>
          <w:szCs w:val="24"/>
          <w:vertAlign w:val="superscript"/>
        </w:rPr>
        <w:t>12-1</w:t>
      </w:r>
      <w:r w:rsidR="00B174B8" w:rsidRPr="005207F2">
        <w:rPr>
          <w:rFonts w:ascii="Calibri" w:hAnsi="Calibri" w:cs="Calibri"/>
          <w:szCs w:val="24"/>
          <w:vertAlign w:val="superscript"/>
        </w:rPr>
        <w:t>6</w:t>
      </w:r>
    </w:p>
    <w:p w14:paraId="6D7D06C8" w14:textId="6CCA325F" w:rsidR="00C67D80" w:rsidRPr="001E7142" w:rsidRDefault="00C67D80" w:rsidP="00C67D80">
      <w:pPr>
        <w:pStyle w:val="ListParagraph"/>
        <w:numPr>
          <w:ilvl w:val="2"/>
          <w:numId w:val="18"/>
        </w:numPr>
        <w:contextualSpacing w:val="0"/>
        <w:rPr>
          <w:rFonts w:ascii="Calibri" w:hAnsi="Calibri" w:cs="Calibri"/>
          <w:szCs w:val="24"/>
        </w:rPr>
      </w:pPr>
      <w:r w:rsidRPr="005207F2">
        <w:rPr>
          <w:rFonts w:ascii="Calibri" w:hAnsi="Calibri" w:cs="Calibri"/>
          <w:szCs w:val="24"/>
        </w:rPr>
        <w:t xml:space="preserve">Number of </w:t>
      </w:r>
      <w:r w:rsidR="00EB2ABC">
        <w:rPr>
          <w:rFonts w:ascii="Calibri" w:hAnsi="Calibri" w:cs="Calibri"/>
          <w:szCs w:val="24"/>
        </w:rPr>
        <w:t xml:space="preserve">total </w:t>
      </w:r>
      <w:r w:rsidRPr="005207F2">
        <w:rPr>
          <w:rFonts w:ascii="Calibri" w:hAnsi="Calibri" w:cs="Calibri"/>
          <w:szCs w:val="24"/>
        </w:rPr>
        <w:t>patient</w:t>
      </w:r>
      <w:r w:rsidR="00B618A9">
        <w:rPr>
          <w:rFonts w:ascii="Calibri" w:hAnsi="Calibri" w:cs="Calibri"/>
          <w:szCs w:val="24"/>
        </w:rPr>
        <w:t>-</w:t>
      </w:r>
      <w:r w:rsidRPr="005207F2">
        <w:rPr>
          <w:rFonts w:ascii="Calibri" w:hAnsi="Calibri" w:cs="Calibri"/>
          <w:szCs w:val="24"/>
        </w:rPr>
        <w:t>days in the unit</w:t>
      </w:r>
      <w:r w:rsidR="00EB2ABC">
        <w:rPr>
          <w:rFonts w:ascii="Calibri" w:hAnsi="Calibri" w:cs="Calibri"/>
          <w:szCs w:val="24"/>
        </w:rPr>
        <w:t xml:space="preserve">, </w:t>
      </w:r>
      <w:r w:rsidRPr="005207F2">
        <w:rPr>
          <w:rFonts w:ascii="Calibri" w:hAnsi="Calibri" w:cs="Calibri"/>
          <w:szCs w:val="24"/>
        </w:rPr>
        <w:t>as an estimate of the number of baths to be given.</w:t>
      </w:r>
      <w:r w:rsidR="003F4107">
        <w:rPr>
          <w:rFonts w:ascii="Calibri" w:hAnsi="Calibri" w:cs="Calibri"/>
          <w:szCs w:val="24"/>
        </w:rPr>
        <w:t xml:space="preserve"> </w:t>
      </w:r>
      <w:r w:rsidR="003F4107" w:rsidRPr="00F0361C">
        <w:rPr>
          <w:rFonts w:ascii="Calibri" w:hAnsi="Calibri" w:cs="Calibri"/>
          <w:szCs w:val="24"/>
        </w:rPr>
        <w:t>For Targeted De</w:t>
      </w:r>
      <w:r w:rsidR="00AC7BF1" w:rsidRPr="00F0361C">
        <w:rPr>
          <w:rFonts w:ascii="Calibri" w:hAnsi="Calibri" w:cs="Calibri"/>
          <w:szCs w:val="24"/>
        </w:rPr>
        <w:t xml:space="preserve">colonization, use </w:t>
      </w:r>
      <w:r w:rsidR="00B11543" w:rsidRPr="00F0361C">
        <w:rPr>
          <w:rFonts w:ascii="Calibri" w:hAnsi="Calibri" w:cs="Calibri"/>
          <w:szCs w:val="24"/>
        </w:rPr>
        <w:t>the number of</w:t>
      </w:r>
      <w:r w:rsidR="003B3B9E" w:rsidRPr="00F0361C">
        <w:rPr>
          <w:rFonts w:ascii="Calibri" w:hAnsi="Calibri" w:cs="Calibri"/>
          <w:szCs w:val="24"/>
        </w:rPr>
        <w:t xml:space="preserve"> </w:t>
      </w:r>
      <w:r w:rsidR="00EB2ABC" w:rsidRPr="00F0361C">
        <w:rPr>
          <w:rFonts w:ascii="Calibri" w:hAnsi="Calibri" w:cs="Calibri"/>
          <w:szCs w:val="24"/>
        </w:rPr>
        <w:t xml:space="preserve">total unit </w:t>
      </w:r>
      <w:r w:rsidR="00B11543" w:rsidRPr="00F0361C">
        <w:rPr>
          <w:rFonts w:ascii="Calibri" w:hAnsi="Calibri" w:cs="Calibri"/>
          <w:szCs w:val="24"/>
        </w:rPr>
        <w:t>patient</w:t>
      </w:r>
      <w:r w:rsidR="00B618A9" w:rsidRPr="00F0361C">
        <w:rPr>
          <w:rFonts w:ascii="Calibri" w:hAnsi="Calibri" w:cs="Calibri"/>
          <w:szCs w:val="24"/>
        </w:rPr>
        <w:t>-</w:t>
      </w:r>
      <w:r w:rsidR="00B11543" w:rsidRPr="00F0361C">
        <w:rPr>
          <w:rFonts w:ascii="Calibri" w:hAnsi="Calibri" w:cs="Calibri"/>
          <w:szCs w:val="24"/>
        </w:rPr>
        <w:t xml:space="preserve">days for patients </w:t>
      </w:r>
      <w:r w:rsidR="00950D34" w:rsidRPr="00F0361C">
        <w:rPr>
          <w:rFonts w:ascii="Calibri" w:hAnsi="Calibri" w:cs="Calibri"/>
          <w:szCs w:val="24"/>
        </w:rPr>
        <w:t>who meet criteria</w:t>
      </w:r>
      <w:r w:rsidR="00B11543" w:rsidRPr="00F0361C">
        <w:rPr>
          <w:rFonts w:ascii="Calibri" w:hAnsi="Calibri" w:cs="Calibri"/>
          <w:szCs w:val="24"/>
        </w:rPr>
        <w:t>.</w:t>
      </w:r>
    </w:p>
    <w:p w14:paraId="707A0B82" w14:textId="4FFD2BD4" w:rsidR="00C67D80" w:rsidRPr="00F0361C" w:rsidRDefault="00C67D80" w:rsidP="00C67D80">
      <w:pPr>
        <w:pStyle w:val="ListParagraph"/>
        <w:numPr>
          <w:ilvl w:val="2"/>
          <w:numId w:val="18"/>
        </w:numPr>
        <w:contextualSpacing w:val="0"/>
        <w:rPr>
          <w:rFonts w:ascii="Calibri" w:hAnsi="Calibri" w:cs="Calibri"/>
          <w:szCs w:val="24"/>
        </w:rPr>
      </w:pPr>
      <w:r w:rsidRPr="005207F2">
        <w:rPr>
          <w:rFonts w:ascii="Calibri" w:hAnsi="Calibri" w:cs="Calibri"/>
          <w:szCs w:val="24"/>
        </w:rPr>
        <w:t xml:space="preserve">Number of </w:t>
      </w:r>
      <w:r w:rsidR="00950D34">
        <w:rPr>
          <w:rFonts w:ascii="Calibri" w:hAnsi="Calibri" w:cs="Calibri"/>
          <w:szCs w:val="24"/>
        </w:rPr>
        <w:t xml:space="preserve">total </w:t>
      </w:r>
      <w:r w:rsidRPr="005207F2">
        <w:rPr>
          <w:rFonts w:ascii="Calibri" w:hAnsi="Calibri" w:cs="Calibri"/>
          <w:szCs w:val="24"/>
        </w:rPr>
        <w:t xml:space="preserve">unit admissions as an estimate of the number of </w:t>
      </w:r>
      <w:r w:rsidR="00950D34">
        <w:rPr>
          <w:rFonts w:ascii="Calibri" w:hAnsi="Calibri" w:cs="Calibri"/>
          <w:szCs w:val="24"/>
        </w:rPr>
        <w:t>nasal decolonization</w:t>
      </w:r>
      <w:r w:rsidRPr="005207F2">
        <w:rPr>
          <w:rFonts w:ascii="Calibri" w:hAnsi="Calibri" w:cs="Calibri"/>
          <w:szCs w:val="24"/>
        </w:rPr>
        <w:t xml:space="preserve"> courses to be given</w:t>
      </w:r>
      <w:r w:rsidRPr="00265BF3">
        <w:rPr>
          <w:rFonts w:ascii="Calibri" w:hAnsi="Calibri" w:cs="Calibri"/>
          <w:szCs w:val="24"/>
        </w:rPr>
        <w:t>.</w:t>
      </w:r>
      <w:r w:rsidR="003B3B9E" w:rsidRPr="00265BF3">
        <w:rPr>
          <w:rFonts w:ascii="Calibri" w:hAnsi="Calibri" w:cs="Calibri"/>
          <w:szCs w:val="24"/>
        </w:rPr>
        <w:t xml:space="preserve"> </w:t>
      </w:r>
      <w:r w:rsidR="003B3B9E" w:rsidRPr="00F0361C">
        <w:rPr>
          <w:rFonts w:ascii="Calibri" w:hAnsi="Calibri" w:cs="Calibri"/>
          <w:szCs w:val="24"/>
        </w:rPr>
        <w:t xml:space="preserve">For Targeted Decolonization, use the number of </w:t>
      </w:r>
      <w:r w:rsidR="00950D34" w:rsidRPr="00F0361C">
        <w:rPr>
          <w:rFonts w:ascii="Calibri" w:hAnsi="Calibri" w:cs="Calibri"/>
          <w:szCs w:val="24"/>
        </w:rPr>
        <w:t xml:space="preserve">total </w:t>
      </w:r>
      <w:r w:rsidR="00F96E25" w:rsidRPr="00F0361C">
        <w:rPr>
          <w:rFonts w:ascii="Calibri" w:hAnsi="Calibri" w:cs="Calibri"/>
          <w:szCs w:val="24"/>
        </w:rPr>
        <w:t xml:space="preserve">unit admissions for patients </w:t>
      </w:r>
      <w:r w:rsidR="00950D34" w:rsidRPr="00F0361C">
        <w:rPr>
          <w:rFonts w:ascii="Calibri" w:hAnsi="Calibri" w:cs="Calibri"/>
          <w:szCs w:val="24"/>
        </w:rPr>
        <w:t>who meet</w:t>
      </w:r>
      <w:r w:rsidR="008731D4">
        <w:rPr>
          <w:rFonts w:ascii="Calibri" w:hAnsi="Calibri" w:cs="Calibri"/>
          <w:szCs w:val="24"/>
        </w:rPr>
        <w:t xml:space="preserve"> </w:t>
      </w:r>
      <w:r w:rsidR="00950D34" w:rsidRPr="00F0361C">
        <w:rPr>
          <w:rFonts w:ascii="Calibri" w:hAnsi="Calibri" w:cs="Calibri"/>
          <w:szCs w:val="24"/>
        </w:rPr>
        <w:t>criteria</w:t>
      </w:r>
      <w:r w:rsidR="00F96E25" w:rsidRPr="00F0361C">
        <w:rPr>
          <w:rFonts w:ascii="Calibri" w:hAnsi="Calibri" w:cs="Calibri"/>
          <w:szCs w:val="24"/>
        </w:rPr>
        <w:t>.</w:t>
      </w:r>
    </w:p>
    <w:p w14:paraId="151866F3" w14:textId="108C61B9" w:rsidR="00C67D80" w:rsidRPr="005207F2" w:rsidRDefault="00C67D80" w:rsidP="00C67D80">
      <w:pPr>
        <w:pStyle w:val="ListParagraph"/>
        <w:numPr>
          <w:ilvl w:val="2"/>
          <w:numId w:val="18"/>
        </w:numPr>
        <w:contextualSpacing w:val="0"/>
        <w:rPr>
          <w:rFonts w:ascii="Calibri" w:hAnsi="Calibri" w:cs="Calibri"/>
          <w:szCs w:val="24"/>
        </w:rPr>
      </w:pPr>
      <w:r w:rsidRPr="005207F2">
        <w:rPr>
          <w:rFonts w:ascii="Calibri" w:hAnsi="Calibri" w:cs="Calibri"/>
          <w:szCs w:val="24"/>
        </w:rPr>
        <w:t>Unit-specific cost of chlorhexidine</w:t>
      </w:r>
      <w:r w:rsidR="007079F0">
        <w:rPr>
          <w:rFonts w:ascii="Calibri" w:hAnsi="Calibri" w:cs="Calibri"/>
          <w:szCs w:val="24"/>
        </w:rPr>
        <w:t xml:space="preserve"> gluconate</w:t>
      </w:r>
      <w:r w:rsidRPr="005207F2">
        <w:rPr>
          <w:rFonts w:ascii="Calibri" w:hAnsi="Calibri" w:cs="Calibri"/>
          <w:szCs w:val="24"/>
        </w:rPr>
        <w:t xml:space="preserve"> </w:t>
      </w:r>
      <w:r w:rsidR="00635FB5">
        <w:rPr>
          <w:rFonts w:ascii="Calibri" w:hAnsi="Calibri" w:cs="Calibri"/>
          <w:szCs w:val="24"/>
        </w:rPr>
        <w:t xml:space="preserve">(CHG) </w:t>
      </w:r>
      <w:r w:rsidRPr="005207F2">
        <w:rPr>
          <w:rFonts w:ascii="Calibri" w:hAnsi="Calibri" w:cs="Calibri"/>
          <w:szCs w:val="24"/>
        </w:rPr>
        <w:t xml:space="preserve">bathing product (each bath). </w:t>
      </w:r>
    </w:p>
    <w:p w14:paraId="64324155" w14:textId="5450DBB6" w:rsidR="00C67D80" w:rsidRPr="005207F2" w:rsidRDefault="00C67D80" w:rsidP="00C67D80">
      <w:pPr>
        <w:pStyle w:val="ListParagraph"/>
        <w:numPr>
          <w:ilvl w:val="2"/>
          <w:numId w:val="18"/>
        </w:numPr>
        <w:contextualSpacing w:val="0"/>
        <w:rPr>
          <w:rFonts w:ascii="Calibri" w:hAnsi="Calibri" w:cs="Calibri"/>
          <w:szCs w:val="24"/>
        </w:rPr>
      </w:pPr>
      <w:r w:rsidRPr="005207F2">
        <w:rPr>
          <w:rFonts w:ascii="Calibri" w:hAnsi="Calibri" w:cs="Calibri"/>
          <w:szCs w:val="24"/>
        </w:rPr>
        <w:t xml:space="preserve">Unit-specific cost of a 5-day course of mupirocin (or </w:t>
      </w:r>
      <w:r w:rsidR="007079F0">
        <w:rPr>
          <w:rFonts w:ascii="Calibri" w:hAnsi="Calibri" w:cs="Calibri"/>
          <w:szCs w:val="24"/>
        </w:rPr>
        <w:t>iodophor</w:t>
      </w:r>
      <w:r w:rsidRPr="005207F2">
        <w:rPr>
          <w:rFonts w:ascii="Calibri" w:hAnsi="Calibri" w:cs="Calibri"/>
          <w:szCs w:val="24"/>
        </w:rPr>
        <w:t xml:space="preserve">) (or the average length of stay on the unit, if shorter than 5 days). </w:t>
      </w:r>
    </w:p>
    <w:p w14:paraId="77013789" w14:textId="2F7A5B2A" w:rsidR="00C67D80" w:rsidRPr="005207F2" w:rsidRDefault="002517A5" w:rsidP="00C67D80">
      <w:pPr>
        <w:pStyle w:val="ListParagraph"/>
        <w:numPr>
          <w:ilvl w:val="0"/>
          <w:numId w:val="18"/>
        </w:numPr>
        <w:ind w:left="360"/>
        <w:contextualSpacing w:val="0"/>
        <w:rPr>
          <w:rFonts w:ascii="Calibri" w:hAnsi="Calibri" w:cs="Calibri"/>
          <w:szCs w:val="24"/>
        </w:rPr>
      </w:pPr>
      <w:r>
        <w:rPr>
          <w:rFonts w:ascii="Calibri" w:hAnsi="Calibri" w:cs="Calibri"/>
          <w:b/>
          <w:szCs w:val="24"/>
        </w:rPr>
        <w:t xml:space="preserve">Identify and </w:t>
      </w:r>
      <w:r w:rsidR="00E37423">
        <w:rPr>
          <w:rFonts w:ascii="Calibri" w:hAnsi="Calibri" w:cs="Calibri"/>
          <w:b/>
          <w:szCs w:val="24"/>
        </w:rPr>
        <w:t xml:space="preserve">Engage </w:t>
      </w:r>
      <w:r>
        <w:rPr>
          <w:rFonts w:ascii="Calibri" w:hAnsi="Calibri" w:cs="Calibri"/>
          <w:b/>
          <w:szCs w:val="24"/>
        </w:rPr>
        <w:t xml:space="preserve">Key </w:t>
      </w:r>
      <w:r w:rsidR="00C67D80" w:rsidRPr="005207F2">
        <w:rPr>
          <w:rFonts w:ascii="Calibri" w:hAnsi="Calibri" w:cs="Calibri"/>
          <w:b/>
          <w:szCs w:val="24"/>
        </w:rPr>
        <w:t>Stakeholder</w:t>
      </w:r>
      <w:r>
        <w:rPr>
          <w:rFonts w:ascii="Calibri" w:hAnsi="Calibri" w:cs="Calibri"/>
          <w:b/>
          <w:szCs w:val="24"/>
        </w:rPr>
        <w:t>s</w:t>
      </w:r>
      <w:r w:rsidR="00C67D80" w:rsidRPr="005207F2">
        <w:rPr>
          <w:rFonts w:ascii="Calibri" w:hAnsi="Calibri" w:cs="Calibri"/>
          <w:b/>
          <w:szCs w:val="24"/>
        </w:rPr>
        <w:t>:</w:t>
      </w:r>
      <w:r w:rsidR="00C67D80" w:rsidRPr="005207F2">
        <w:rPr>
          <w:rFonts w:ascii="Calibri" w:hAnsi="Calibri" w:cs="Calibri"/>
          <w:szCs w:val="24"/>
        </w:rPr>
        <w:t xml:space="preserve"> Obtaining stakeholder support for decolonization will require identifying and approaching key stakeholders. </w:t>
      </w:r>
      <w:r w:rsidR="005340E9">
        <w:rPr>
          <w:rFonts w:ascii="Calibri" w:hAnsi="Calibri" w:cs="Calibri"/>
          <w:szCs w:val="24"/>
        </w:rPr>
        <w:t>K</w:t>
      </w:r>
      <w:r w:rsidR="005340E9" w:rsidRPr="005207F2">
        <w:rPr>
          <w:rFonts w:ascii="Calibri" w:hAnsi="Calibri" w:cs="Calibri"/>
          <w:szCs w:val="24"/>
        </w:rPr>
        <w:t xml:space="preserve">ey stakeholders include high-position personnel </w:t>
      </w:r>
      <w:r w:rsidR="00F85FB4">
        <w:rPr>
          <w:rFonts w:ascii="Calibri" w:hAnsi="Calibri" w:cs="Calibri"/>
          <w:szCs w:val="24"/>
        </w:rPr>
        <w:t>who</w:t>
      </w:r>
      <w:r w:rsidR="005340E9" w:rsidRPr="005207F2">
        <w:rPr>
          <w:rFonts w:ascii="Calibri" w:hAnsi="Calibri" w:cs="Calibri"/>
          <w:szCs w:val="24"/>
        </w:rPr>
        <w:t xml:space="preserve"> are able to offer institutional support for the implementation of the protocol. </w:t>
      </w:r>
      <w:r w:rsidR="00C67D80" w:rsidRPr="005207F2">
        <w:rPr>
          <w:rFonts w:ascii="Calibri" w:hAnsi="Calibri" w:cs="Calibri"/>
          <w:szCs w:val="24"/>
        </w:rPr>
        <w:t xml:space="preserve">Some potential stakeholders you may consider approaching include the Chief Medical Officer, Chief Nursing Officer, Director of Infection Control and Prevention, and Director of Quality Improvement. </w:t>
      </w:r>
      <w:r w:rsidR="00AD1571">
        <w:rPr>
          <w:rFonts w:ascii="Calibri" w:hAnsi="Calibri" w:cs="Calibri"/>
          <w:szCs w:val="24"/>
        </w:rPr>
        <w:t>Who and how</w:t>
      </w:r>
      <w:r w:rsidR="00C67D80" w:rsidRPr="005207F2">
        <w:rPr>
          <w:rFonts w:ascii="Calibri" w:hAnsi="Calibri" w:cs="Calibri"/>
          <w:szCs w:val="24"/>
        </w:rPr>
        <w:t xml:space="preserve"> you approach these key stakeholders will depend on the culture, standard processes, and existing relationships at your hospital. Brainstorm within your team to decide on the list and order of key stakeholders who you will need to approach</w:t>
      </w:r>
      <w:r w:rsidR="00AD1571">
        <w:rPr>
          <w:rFonts w:ascii="Calibri" w:hAnsi="Calibri" w:cs="Calibri"/>
          <w:szCs w:val="24"/>
        </w:rPr>
        <w:t>.</w:t>
      </w:r>
      <w:r w:rsidR="00C67D80" w:rsidRPr="005207F2">
        <w:rPr>
          <w:rFonts w:ascii="Calibri" w:hAnsi="Calibri" w:cs="Calibri"/>
          <w:szCs w:val="24"/>
        </w:rPr>
        <w:t xml:space="preserve"> </w:t>
      </w:r>
      <w:r w:rsidR="00AD1571">
        <w:rPr>
          <w:rFonts w:ascii="Calibri" w:hAnsi="Calibri" w:cs="Calibri"/>
          <w:szCs w:val="24"/>
        </w:rPr>
        <w:t>T</w:t>
      </w:r>
      <w:r w:rsidR="00AD1571" w:rsidRPr="005207F2">
        <w:rPr>
          <w:rFonts w:ascii="Calibri" w:hAnsi="Calibri" w:cs="Calibri"/>
          <w:szCs w:val="24"/>
        </w:rPr>
        <w:t xml:space="preserve">he </w:t>
      </w:r>
      <w:r w:rsidR="00C67D80" w:rsidRPr="005207F2">
        <w:rPr>
          <w:rFonts w:ascii="Calibri" w:hAnsi="Calibri" w:cs="Calibri"/>
          <w:szCs w:val="24"/>
        </w:rPr>
        <w:t>diversity of perspectives among team members and leaders could be very useful.</w:t>
      </w:r>
    </w:p>
    <w:p w14:paraId="04BC84ED" w14:textId="0408317A" w:rsidR="00C67D80" w:rsidRPr="005207F2" w:rsidRDefault="00AD1571" w:rsidP="00C67D80">
      <w:pPr>
        <w:pStyle w:val="ListParagraph"/>
        <w:ind w:left="360"/>
        <w:contextualSpacing w:val="0"/>
        <w:rPr>
          <w:rFonts w:ascii="Calibri" w:hAnsi="Calibri" w:cs="Calibri"/>
          <w:szCs w:val="24"/>
        </w:rPr>
      </w:pPr>
      <w:r>
        <w:rPr>
          <w:rFonts w:ascii="Calibri" w:hAnsi="Calibri" w:cs="Calibri"/>
          <w:szCs w:val="24"/>
        </w:rPr>
        <w:t xml:space="preserve">Consider </w:t>
      </w:r>
      <w:r w:rsidR="00FF5D44">
        <w:rPr>
          <w:rFonts w:ascii="Calibri" w:hAnsi="Calibri" w:cs="Calibri"/>
          <w:szCs w:val="24"/>
        </w:rPr>
        <w:t>approaching the following groups:</w:t>
      </w:r>
    </w:p>
    <w:p w14:paraId="4F4418D7" w14:textId="322BF4F7" w:rsidR="00C67D80" w:rsidRPr="005207F2" w:rsidRDefault="00C67D80" w:rsidP="00C67D80">
      <w:pPr>
        <w:pStyle w:val="ListParagraph"/>
        <w:numPr>
          <w:ilvl w:val="1"/>
          <w:numId w:val="18"/>
        </w:numPr>
        <w:contextualSpacing w:val="0"/>
        <w:rPr>
          <w:rFonts w:ascii="Calibri" w:hAnsi="Calibri" w:cs="Calibri"/>
          <w:szCs w:val="24"/>
        </w:rPr>
      </w:pPr>
      <w:r w:rsidRPr="00A8307E">
        <w:rPr>
          <w:rFonts w:ascii="Calibri" w:hAnsi="Calibri" w:cs="Calibri"/>
          <w:b/>
          <w:i/>
          <w:iCs/>
          <w:szCs w:val="24"/>
        </w:rPr>
        <w:lastRenderedPageBreak/>
        <w:t>Infection Prevention Program:</w:t>
      </w:r>
      <w:r w:rsidRPr="005207F2">
        <w:rPr>
          <w:rFonts w:ascii="Calibri" w:hAnsi="Calibri" w:cs="Calibri"/>
          <w:b/>
          <w:szCs w:val="24"/>
        </w:rPr>
        <w:t xml:space="preserve"> </w:t>
      </w:r>
      <w:r w:rsidRPr="005207F2">
        <w:rPr>
          <w:rFonts w:ascii="Calibri" w:hAnsi="Calibri" w:cs="Calibri"/>
          <w:szCs w:val="24"/>
        </w:rPr>
        <w:t xml:space="preserve">The hospital Infection Prevention and Control program </w:t>
      </w:r>
      <w:r w:rsidR="00D36656">
        <w:rPr>
          <w:rFonts w:ascii="Calibri" w:hAnsi="Calibri" w:cs="Calibri"/>
          <w:szCs w:val="24"/>
        </w:rPr>
        <w:t xml:space="preserve">will be a crucial partner in </w:t>
      </w:r>
      <w:r w:rsidRPr="005207F2">
        <w:rPr>
          <w:rFonts w:ascii="Calibri" w:hAnsi="Calibri" w:cs="Calibri"/>
          <w:szCs w:val="24"/>
        </w:rPr>
        <w:t xml:space="preserve">the implementation of decolonization. </w:t>
      </w:r>
      <w:r w:rsidR="00D36656">
        <w:rPr>
          <w:rFonts w:ascii="Calibri" w:hAnsi="Calibri" w:cs="Calibri"/>
          <w:szCs w:val="24"/>
        </w:rPr>
        <w:t>E</w:t>
      </w:r>
      <w:r w:rsidRPr="005207F2">
        <w:rPr>
          <w:rFonts w:ascii="Calibri" w:hAnsi="Calibri" w:cs="Calibri"/>
          <w:szCs w:val="24"/>
        </w:rPr>
        <w:t>nsure that the entire Infection Prevention program (e.g., hospital epidemiologist, director of infection prevention, and the infection preventionist providing support to your unit) is fully supportive, understand the rationale</w:t>
      </w:r>
      <w:r w:rsidR="00130ED5">
        <w:rPr>
          <w:rFonts w:ascii="Calibri" w:hAnsi="Calibri" w:cs="Calibri"/>
          <w:szCs w:val="24"/>
        </w:rPr>
        <w:t xml:space="preserve"> and the evidence</w:t>
      </w:r>
      <w:r w:rsidRPr="005207F2">
        <w:rPr>
          <w:rFonts w:ascii="Calibri" w:hAnsi="Calibri" w:cs="Calibri"/>
          <w:szCs w:val="24"/>
        </w:rPr>
        <w:t xml:space="preserve">, </w:t>
      </w:r>
      <w:r w:rsidR="00130ED5">
        <w:rPr>
          <w:rFonts w:ascii="Calibri" w:hAnsi="Calibri" w:cs="Calibri"/>
          <w:szCs w:val="24"/>
        </w:rPr>
        <w:t xml:space="preserve">and are willing to </w:t>
      </w:r>
      <w:r w:rsidRPr="005207F2">
        <w:rPr>
          <w:rFonts w:ascii="Calibri" w:hAnsi="Calibri" w:cs="Calibri"/>
          <w:szCs w:val="24"/>
        </w:rPr>
        <w:t>speak to this endeavor</w:t>
      </w:r>
      <w:r w:rsidR="00130ED5">
        <w:rPr>
          <w:rFonts w:ascii="Calibri" w:hAnsi="Calibri" w:cs="Calibri"/>
          <w:szCs w:val="24"/>
        </w:rPr>
        <w:t>.</w:t>
      </w:r>
      <w:r w:rsidR="00130ED5" w:rsidRPr="005207F2">
        <w:rPr>
          <w:rFonts w:ascii="Calibri" w:hAnsi="Calibri" w:cs="Calibri"/>
          <w:szCs w:val="24"/>
        </w:rPr>
        <w:t xml:space="preserve"> </w:t>
      </w:r>
      <w:r w:rsidR="00B6281F">
        <w:rPr>
          <w:rFonts w:ascii="Calibri" w:hAnsi="Calibri" w:cs="Calibri"/>
          <w:szCs w:val="24"/>
        </w:rPr>
        <w:t xml:space="preserve">Invite </w:t>
      </w:r>
      <w:r w:rsidRPr="005207F2">
        <w:rPr>
          <w:rFonts w:ascii="Calibri" w:hAnsi="Calibri" w:cs="Calibri"/>
          <w:szCs w:val="24"/>
        </w:rPr>
        <w:t xml:space="preserve">a representative to join </w:t>
      </w:r>
      <w:r w:rsidR="00F8263E" w:rsidRPr="005207F2">
        <w:rPr>
          <w:rFonts w:ascii="Calibri" w:hAnsi="Calibri" w:cs="Calibri"/>
          <w:szCs w:val="24"/>
        </w:rPr>
        <w:t>your</w:t>
      </w:r>
      <w:r w:rsidRPr="005207F2">
        <w:rPr>
          <w:rFonts w:ascii="Calibri" w:hAnsi="Calibri" w:cs="Calibri"/>
          <w:szCs w:val="24"/>
        </w:rPr>
        <w:t xml:space="preserve"> team (if a representative is not part of your team already).</w:t>
      </w:r>
    </w:p>
    <w:p w14:paraId="0279D869" w14:textId="1121F67B" w:rsidR="00C67D80" w:rsidRPr="005207F2" w:rsidRDefault="00C67D80" w:rsidP="00C67D80">
      <w:pPr>
        <w:pStyle w:val="ListParagraph"/>
        <w:numPr>
          <w:ilvl w:val="1"/>
          <w:numId w:val="18"/>
        </w:numPr>
        <w:contextualSpacing w:val="0"/>
        <w:rPr>
          <w:rFonts w:ascii="Calibri" w:hAnsi="Calibri" w:cs="Calibri"/>
          <w:szCs w:val="24"/>
        </w:rPr>
      </w:pPr>
      <w:r w:rsidRPr="00A8307E">
        <w:rPr>
          <w:rFonts w:ascii="Calibri" w:hAnsi="Calibri" w:cs="Calibri"/>
          <w:b/>
          <w:i/>
          <w:iCs/>
          <w:szCs w:val="24"/>
        </w:rPr>
        <w:t>Unit Directors (nursing, physician):</w:t>
      </w:r>
      <w:r w:rsidRPr="005207F2">
        <w:rPr>
          <w:rFonts w:ascii="Calibri" w:hAnsi="Calibri" w:cs="Calibri"/>
          <w:szCs w:val="24"/>
        </w:rPr>
        <w:t xml:space="preserve"> Unit leadership</w:t>
      </w:r>
      <w:r w:rsidR="00B6281F">
        <w:rPr>
          <w:rFonts w:ascii="Calibri" w:hAnsi="Calibri" w:cs="Calibri"/>
          <w:szCs w:val="24"/>
        </w:rPr>
        <w:t>, including the medical director, nurse manager, or nurse educator,</w:t>
      </w:r>
      <w:r w:rsidRPr="005207F2">
        <w:rPr>
          <w:rFonts w:ascii="Calibri" w:hAnsi="Calibri" w:cs="Calibri"/>
          <w:szCs w:val="24"/>
        </w:rPr>
        <w:t xml:space="preserve"> is essential for support. The nursing and physician leadership can provide </w:t>
      </w:r>
      <w:r w:rsidR="009C0EA5" w:rsidRPr="005207F2">
        <w:rPr>
          <w:rFonts w:ascii="Calibri" w:hAnsi="Calibri" w:cs="Calibri"/>
          <w:szCs w:val="24"/>
        </w:rPr>
        <w:t xml:space="preserve">important logistical </w:t>
      </w:r>
      <w:r w:rsidR="009C0EA5">
        <w:rPr>
          <w:rFonts w:ascii="Calibri" w:hAnsi="Calibri" w:cs="Calibri"/>
          <w:szCs w:val="24"/>
        </w:rPr>
        <w:t>support</w:t>
      </w:r>
      <w:r w:rsidR="009C0EA5" w:rsidRPr="005207F2">
        <w:rPr>
          <w:rFonts w:ascii="Calibri" w:hAnsi="Calibri" w:cs="Calibri"/>
          <w:szCs w:val="24"/>
        </w:rPr>
        <w:t xml:space="preserve"> </w:t>
      </w:r>
      <w:r w:rsidR="009C0EA5">
        <w:rPr>
          <w:rFonts w:ascii="Calibri" w:hAnsi="Calibri" w:cs="Calibri"/>
          <w:szCs w:val="24"/>
        </w:rPr>
        <w:t xml:space="preserve">and </w:t>
      </w:r>
      <w:r w:rsidRPr="005207F2">
        <w:rPr>
          <w:rFonts w:ascii="Calibri" w:hAnsi="Calibri" w:cs="Calibri"/>
          <w:szCs w:val="24"/>
        </w:rPr>
        <w:t xml:space="preserve">critical insight </w:t>
      </w:r>
      <w:r w:rsidR="009C0EA5">
        <w:rPr>
          <w:rFonts w:ascii="Calibri" w:hAnsi="Calibri" w:cs="Calibri"/>
          <w:szCs w:val="24"/>
        </w:rPr>
        <w:t>into items</w:t>
      </w:r>
      <w:r w:rsidR="00BF05C0">
        <w:rPr>
          <w:rFonts w:ascii="Calibri" w:hAnsi="Calibri" w:cs="Calibri"/>
          <w:szCs w:val="24"/>
        </w:rPr>
        <w:t>—</w:t>
      </w:r>
      <w:r w:rsidRPr="005207F2">
        <w:rPr>
          <w:rFonts w:ascii="Calibri" w:hAnsi="Calibri" w:cs="Calibri"/>
          <w:szCs w:val="24"/>
        </w:rPr>
        <w:t xml:space="preserve">such as bathing shifts, recommended bathing time, approaches to developing a standardized protocol, successful methods for rollout, and concurrent campaigns. Their input and support will be essential for </w:t>
      </w:r>
      <w:r w:rsidR="00F8263E" w:rsidRPr="005207F2">
        <w:rPr>
          <w:rFonts w:ascii="Calibri" w:hAnsi="Calibri" w:cs="Calibri"/>
          <w:szCs w:val="24"/>
        </w:rPr>
        <w:t>your</w:t>
      </w:r>
      <w:r w:rsidRPr="005207F2">
        <w:rPr>
          <w:rFonts w:ascii="Calibri" w:hAnsi="Calibri" w:cs="Calibri"/>
          <w:szCs w:val="24"/>
        </w:rPr>
        <w:t xml:space="preserve"> team; ideally, they would be involved in </w:t>
      </w:r>
      <w:r w:rsidR="00F8263E" w:rsidRPr="005207F2">
        <w:rPr>
          <w:rFonts w:ascii="Calibri" w:hAnsi="Calibri" w:cs="Calibri"/>
          <w:szCs w:val="24"/>
        </w:rPr>
        <w:t>your</w:t>
      </w:r>
      <w:r w:rsidRPr="005207F2">
        <w:rPr>
          <w:rFonts w:ascii="Calibri" w:hAnsi="Calibri" w:cs="Calibri"/>
          <w:szCs w:val="24"/>
        </w:rPr>
        <w:t xml:space="preserve"> team’s meetings.</w:t>
      </w:r>
    </w:p>
    <w:p w14:paraId="176FE1A1" w14:textId="080AA664" w:rsidR="00C67D80" w:rsidRPr="005207F2" w:rsidRDefault="00C67D80" w:rsidP="00C67D80">
      <w:pPr>
        <w:pStyle w:val="ListParagraph"/>
        <w:numPr>
          <w:ilvl w:val="1"/>
          <w:numId w:val="18"/>
        </w:numPr>
        <w:contextualSpacing w:val="0"/>
        <w:rPr>
          <w:rFonts w:ascii="Calibri" w:hAnsi="Calibri" w:cs="Calibri"/>
          <w:szCs w:val="24"/>
        </w:rPr>
      </w:pPr>
      <w:r w:rsidRPr="00A8307E">
        <w:rPr>
          <w:rFonts w:ascii="Calibri" w:hAnsi="Calibri" w:cs="Calibri"/>
          <w:b/>
          <w:i/>
          <w:iCs/>
          <w:szCs w:val="24"/>
        </w:rPr>
        <w:t>Purchasing:</w:t>
      </w:r>
      <w:r w:rsidRPr="005207F2">
        <w:rPr>
          <w:rFonts w:ascii="Calibri" w:hAnsi="Calibri" w:cs="Calibri"/>
          <w:b/>
          <w:szCs w:val="24"/>
        </w:rPr>
        <w:t xml:space="preserve"> </w:t>
      </w:r>
      <w:r w:rsidRPr="005207F2">
        <w:rPr>
          <w:rFonts w:ascii="Calibri" w:hAnsi="Calibri" w:cs="Calibri"/>
          <w:szCs w:val="24"/>
        </w:rPr>
        <w:t xml:space="preserve">The purchasing department can provide </w:t>
      </w:r>
      <w:r w:rsidR="004F5F64">
        <w:rPr>
          <w:rFonts w:ascii="Calibri" w:hAnsi="Calibri" w:cs="Calibri"/>
          <w:szCs w:val="24"/>
        </w:rPr>
        <w:t xml:space="preserve">estimates of </w:t>
      </w:r>
      <w:r w:rsidRPr="005207F2">
        <w:rPr>
          <w:rFonts w:ascii="Calibri" w:hAnsi="Calibri" w:cs="Calibri"/>
          <w:szCs w:val="24"/>
        </w:rPr>
        <w:t xml:space="preserve">current hospital-specific </w:t>
      </w:r>
      <w:r w:rsidR="004F5F64">
        <w:rPr>
          <w:rFonts w:ascii="Calibri" w:hAnsi="Calibri" w:cs="Calibri"/>
          <w:szCs w:val="24"/>
        </w:rPr>
        <w:t xml:space="preserve">product </w:t>
      </w:r>
      <w:r w:rsidRPr="005207F2">
        <w:rPr>
          <w:rFonts w:ascii="Calibri" w:hAnsi="Calibri" w:cs="Calibri"/>
          <w:szCs w:val="24"/>
        </w:rPr>
        <w:t>cost</w:t>
      </w:r>
      <w:r w:rsidR="00C71EA3">
        <w:rPr>
          <w:rFonts w:ascii="Calibri" w:hAnsi="Calibri" w:cs="Calibri"/>
          <w:szCs w:val="24"/>
        </w:rPr>
        <w:t>s</w:t>
      </w:r>
      <w:r w:rsidRPr="005207F2">
        <w:rPr>
          <w:rFonts w:ascii="Calibri" w:hAnsi="Calibri" w:cs="Calibri"/>
          <w:szCs w:val="24"/>
        </w:rPr>
        <w:t xml:space="preserve"> </w:t>
      </w:r>
      <w:r w:rsidR="004F5F64">
        <w:rPr>
          <w:rFonts w:ascii="Calibri" w:hAnsi="Calibri" w:cs="Calibri"/>
          <w:szCs w:val="24"/>
        </w:rPr>
        <w:t>and</w:t>
      </w:r>
      <w:r w:rsidRPr="005207F2">
        <w:rPr>
          <w:rFonts w:ascii="Calibri" w:hAnsi="Calibri" w:cs="Calibri"/>
          <w:szCs w:val="24"/>
        </w:rPr>
        <w:t xml:space="preserve"> may be able to engage in price negotiations due </w:t>
      </w:r>
      <w:r w:rsidR="00DC1A0C">
        <w:rPr>
          <w:rFonts w:ascii="Calibri" w:hAnsi="Calibri" w:cs="Calibri"/>
          <w:szCs w:val="24"/>
        </w:rPr>
        <w:t xml:space="preserve">to bulk </w:t>
      </w:r>
      <w:r w:rsidRPr="005207F2">
        <w:rPr>
          <w:rFonts w:ascii="Calibri" w:hAnsi="Calibri" w:cs="Calibri"/>
          <w:szCs w:val="24"/>
        </w:rPr>
        <w:t>purchas</w:t>
      </w:r>
      <w:r w:rsidR="00DC1A0C">
        <w:rPr>
          <w:rFonts w:ascii="Calibri" w:hAnsi="Calibri" w:cs="Calibri"/>
          <w:szCs w:val="24"/>
        </w:rPr>
        <w:t>ing of decolonization supplies</w:t>
      </w:r>
      <w:r w:rsidRPr="005207F2">
        <w:rPr>
          <w:rFonts w:ascii="Calibri" w:hAnsi="Calibri" w:cs="Calibri"/>
          <w:szCs w:val="24"/>
        </w:rPr>
        <w:t>.</w:t>
      </w:r>
    </w:p>
    <w:p w14:paraId="3A2F9AC8" w14:textId="073D2F36" w:rsidR="00C67D80" w:rsidRPr="005207F2" w:rsidRDefault="00C67D80" w:rsidP="00C67D80">
      <w:pPr>
        <w:pStyle w:val="ListParagraph"/>
        <w:numPr>
          <w:ilvl w:val="1"/>
          <w:numId w:val="18"/>
        </w:numPr>
        <w:contextualSpacing w:val="0"/>
        <w:rPr>
          <w:rFonts w:ascii="Calibri" w:hAnsi="Calibri" w:cs="Calibri"/>
          <w:szCs w:val="24"/>
        </w:rPr>
      </w:pPr>
      <w:r w:rsidRPr="00A8307E">
        <w:rPr>
          <w:rFonts w:ascii="Calibri" w:hAnsi="Calibri" w:cs="Calibri"/>
          <w:b/>
          <w:i/>
          <w:iCs/>
          <w:szCs w:val="24"/>
        </w:rPr>
        <w:t>Hospital Administration and Leadership:</w:t>
      </w:r>
      <w:r w:rsidRPr="005207F2">
        <w:rPr>
          <w:rFonts w:ascii="Calibri" w:hAnsi="Calibri" w:cs="Calibri"/>
          <w:szCs w:val="24"/>
        </w:rPr>
        <w:t xml:space="preserve"> </w:t>
      </w:r>
      <w:r w:rsidR="00CB4385">
        <w:rPr>
          <w:rFonts w:ascii="Calibri" w:hAnsi="Calibri" w:cs="Calibri"/>
          <w:szCs w:val="24"/>
        </w:rPr>
        <w:t xml:space="preserve">Gaining </w:t>
      </w:r>
      <w:r w:rsidR="00DE136E">
        <w:rPr>
          <w:rFonts w:ascii="Calibri" w:hAnsi="Calibri" w:cs="Calibri"/>
          <w:szCs w:val="24"/>
        </w:rPr>
        <w:t xml:space="preserve">the </w:t>
      </w:r>
      <w:r w:rsidR="00CB4385">
        <w:rPr>
          <w:rFonts w:ascii="Calibri" w:hAnsi="Calibri" w:cs="Calibri"/>
          <w:szCs w:val="24"/>
        </w:rPr>
        <w:t>s</w:t>
      </w:r>
      <w:r w:rsidR="00CB4385" w:rsidRPr="005207F2">
        <w:rPr>
          <w:rFonts w:ascii="Calibri" w:hAnsi="Calibri" w:cs="Calibri"/>
          <w:szCs w:val="24"/>
        </w:rPr>
        <w:t xml:space="preserve">upport </w:t>
      </w:r>
      <w:r w:rsidRPr="005207F2">
        <w:rPr>
          <w:rFonts w:ascii="Calibri" w:hAnsi="Calibri" w:cs="Calibri"/>
          <w:szCs w:val="24"/>
        </w:rPr>
        <w:t xml:space="preserve">from the Chief Executive Officer, Chief Medical Officer, and Chief Nursing Officer will be </w:t>
      </w:r>
      <w:r w:rsidR="002225FB">
        <w:rPr>
          <w:rFonts w:ascii="Calibri" w:hAnsi="Calibri" w:cs="Calibri"/>
          <w:szCs w:val="24"/>
        </w:rPr>
        <w:t>important</w:t>
      </w:r>
      <w:r w:rsidR="00EF21CB">
        <w:rPr>
          <w:rFonts w:ascii="Calibri" w:hAnsi="Calibri" w:cs="Calibri"/>
          <w:szCs w:val="24"/>
        </w:rPr>
        <w:t xml:space="preserve"> for </w:t>
      </w:r>
      <w:r w:rsidRPr="005207F2">
        <w:rPr>
          <w:rFonts w:ascii="Calibri" w:hAnsi="Calibri" w:cs="Calibri"/>
          <w:szCs w:val="24"/>
        </w:rPr>
        <w:t xml:space="preserve">a successful </w:t>
      </w:r>
      <w:r w:rsidR="00EF21CB">
        <w:rPr>
          <w:rFonts w:ascii="Calibri" w:hAnsi="Calibri" w:cs="Calibri"/>
          <w:szCs w:val="24"/>
        </w:rPr>
        <w:t>decolonization program</w:t>
      </w:r>
      <w:r w:rsidRPr="005207F2">
        <w:rPr>
          <w:rFonts w:ascii="Calibri" w:hAnsi="Calibri" w:cs="Calibri"/>
          <w:szCs w:val="24"/>
        </w:rPr>
        <w:t xml:space="preserve">. </w:t>
      </w:r>
      <w:r w:rsidR="00EF21CB">
        <w:rPr>
          <w:rFonts w:ascii="Calibri" w:hAnsi="Calibri" w:cs="Calibri"/>
          <w:szCs w:val="24"/>
        </w:rPr>
        <w:t xml:space="preserve">Be prepared to present </w:t>
      </w:r>
      <w:r w:rsidRPr="005207F2">
        <w:rPr>
          <w:rFonts w:ascii="Calibri" w:hAnsi="Calibri" w:cs="Calibri"/>
          <w:szCs w:val="24"/>
        </w:rPr>
        <w:t xml:space="preserve">the business case (including anticipated product costs), </w:t>
      </w:r>
      <w:r w:rsidR="00D74BD2">
        <w:rPr>
          <w:rFonts w:ascii="Calibri" w:hAnsi="Calibri" w:cs="Calibri"/>
          <w:szCs w:val="24"/>
        </w:rPr>
        <w:t xml:space="preserve">provide </w:t>
      </w:r>
      <w:r w:rsidRPr="005207F2">
        <w:rPr>
          <w:rFonts w:ascii="Calibri" w:hAnsi="Calibri" w:cs="Calibri"/>
          <w:szCs w:val="24"/>
        </w:rPr>
        <w:t xml:space="preserve">a </w:t>
      </w:r>
      <w:r w:rsidR="00D74BD2">
        <w:rPr>
          <w:rFonts w:ascii="Calibri" w:hAnsi="Calibri" w:cs="Calibri"/>
          <w:szCs w:val="24"/>
        </w:rPr>
        <w:t xml:space="preserve">list </w:t>
      </w:r>
      <w:r w:rsidRPr="005207F2">
        <w:rPr>
          <w:rFonts w:ascii="Calibri" w:hAnsi="Calibri" w:cs="Calibri"/>
          <w:szCs w:val="24"/>
        </w:rPr>
        <w:t xml:space="preserve">of supporting stakeholders, and </w:t>
      </w:r>
      <w:r w:rsidR="00D74BD2">
        <w:rPr>
          <w:rFonts w:ascii="Calibri" w:hAnsi="Calibri" w:cs="Calibri"/>
          <w:szCs w:val="24"/>
        </w:rPr>
        <w:t xml:space="preserve">outline </w:t>
      </w:r>
      <w:r w:rsidRPr="005207F2">
        <w:rPr>
          <w:rFonts w:ascii="Calibri" w:hAnsi="Calibri" w:cs="Calibri"/>
          <w:szCs w:val="24"/>
        </w:rPr>
        <w:t>your implementation strategy</w:t>
      </w:r>
      <w:r w:rsidR="00485467">
        <w:rPr>
          <w:rFonts w:ascii="Calibri" w:hAnsi="Calibri" w:cs="Calibri"/>
          <w:szCs w:val="24"/>
        </w:rPr>
        <w:t>, including your targets and goals</w:t>
      </w:r>
      <w:r w:rsidRPr="005207F2">
        <w:rPr>
          <w:rFonts w:ascii="Calibri" w:hAnsi="Calibri" w:cs="Calibri"/>
          <w:szCs w:val="24"/>
        </w:rPr>
        <w:t xml:space="preserve">. </w:t>
      </w:r>
      <w:r w:rsidR="00485467">
        <w:rPr>
          <w:rFonts w:ascii="Calibri" w:hAnsi="Calibri" w:cs="Calibri"/>
          <w:szCs w:val="24"/>
        </w:rPr>
        <w:t>H</w:t>
      </w:r>
      <w:r w:rsidRPr="005207F2">
        <w:rPr>
          <w:rFonts w:ascii="Calibri" w:hAnsi="Calibri" w:cs="Calibri"/>
          <w:szCs w:val="24"/>
        </w:rPr>
        <w:t>av</w:t>
      </w:r>
      <w:r w:rsidR="00485467">
        <w:rPr>
          <w:rFonts w:ascii="Calibri" w:hAnsi="Calibri" w:cs="Calibri"/>
          <w:szCs w:val="24"/>
        </w:rPr>
        <w:t>ing</w:t>
      </w:r>
      <w:r w:rsidRPr="005207F2">
        <w:rPr>
          <w:rFonts w:ascii="Calibri" w:hAnsi="Calibri" w:cs="Calibri"/>
          <w:szCs w:val="24"/>
        </w:rPr>
        <w:t xml:space="preserve"> an engaged </w:t>
      </w:r>
      <w:r w:rsidR="00485467">
        <w:rPr>
          <w:rFonts w:ascii="Calibri" w:hAnsi="Calibri" w:cs="Calibri"/>
          <w:szCs w:val="24"/>
        </w:rPr>
        <w:t xml:space="preserve">and active </w:t>
      </w:r>
      <w:r w:rsidR="006E08C7">
        <w:rPr>
          <w:rFonts w:ascii="Calibri" w:hAnsi="Calibri" w:cs="Calibri"/>
          <w:szCs w:val="24"/>
        </w:rPr>
        <w:t>senior executive</w:t>
      </w:r>
      <w:r w:rsidR="00485467">
        <w:rPr>
          <w:rFonts w:ascii="Calibri" w:hAnsi="Calibri" w:cs="Calibri"/>
          <w:szCs w:val="24"/>
        </w:rPr>
        <w:t xml:space="preserve"> as a member of your team </w:t>
      </w:r>
      <w:r w:rsidR="002225FB">
        <w:rPr>
          <w:rFonts w:ascii="Calibri" w:hAnsi="Calibri" w:cs="Calibri"/>
          <w:szCs w:val="24"/>
        </w:rPr>
        <w:t>is invaluable to secure broad institutional backing</w:t>
      </w:r>
      <w:r w:rsidRPr="005207F2">
        <w:rPr>
          <w:rFonts w:ascii="Calibri" w:hAnsi="Calibri" w:cs="Calibri"/>
          <w:szCs w:val="24"/>
        </w:rPr>
        <w:t xml:space="preserve">. If you do not </w:t>
      </w:r>
      <w:r w:rsidR="0052542C">
        <w:rPr>
          <w:rFonts w:ascii="Calibri" w:hAnsi="Calibri" w:cs="Calibri"/>
          <w:szCs w:val="24"/>
        </w:rPr>
        <w:t xml:space="preserve">yet </w:t>
      </w:r>
      <w:r w:rsidRPr="005207F2">
        <w:rPr>
          <w:rFonts w:ascii="Calibri" w:hAnsi="Calibri" w:cs="Calibri"/>
          <w:szCs w:val="24"/>
        </w:rPr>
        <w:t xml:space="preserve">have a </w:t>
      </w:r>
      <w:r w:rsidR="006E08C7">
        <w:rPr>
          <w:rFonts w:ascii="Calibri" w:hAnsi="Calibri" w:cs="Calibri"/>
          <w:szCs w:val="24"/>
        </w:rPr>
        <w:t>senior executive</w:t>
      </w:r>
      <w:r w:rsidRPr="005207F2">
        <w:rPr>
          <w:rFonts w:ascii="Calibri" w:hAnsi="Calibri" w:cs="Calibri"/>
          <w:szCs w:val="24"/>
        </w:rPr>
        <w:t xml:space="preserve"> </w:t>
      </w:r>
      <w:r w:rsidR="002225FB">
        <w:rPr>
          <w:rFonts w:ascii="Calibri" w:hAnsi="Calibri" w:cs="Calibri"/>
          <w:szCs w:val="24"/>
        </w:rPr>
        <w:t xml:space="preserve">member </w:t>
      </w:r>
      <w:r w:rsidRPr="005207F2">
        <w:rPr>
          <w:rFonts w:ascii="Calibri" w:hAnsi="Calibri" w:cs="Calibri"/>
          <w:szCs w:val="24"/>
        </w:rPr>
        <w:t>on your team</w:t>
      </w:r>
      <w:r w:rsidR="007E34ED">
        <w:rPr>
          <w:rFonts w:ascii="Calibri" w:hAnsi="Calibri" w:cs="Calibri"/>
          <w:szCs w:val="24"/>
        </w:rPr>
        <w:t>,</w:t>
      </w:r>
      <w:r w:rsidRPr="005207F2">
        <w:rPr>
          <w:rFonts w:ascii="Calibri" w:hAnsi="Calibri" w:cs="Calibri"/>
          <w:szCs w:val="24"/>
        </w:rPr>
        <w:t xml:space="preserve"> this would be a good time to </w:t>
      </w:r>
      <w:r w:rsidR="002225FB">
        <w:rPr>
          <w:rFonts w:ascii="Calibri" w:hAnsi="Calibri" w:cs="Calibri"/>
          <w:szCs w:val="24"/>
        </w:rPr>
        <w:t xml:space="preserve">recruit </w:t>
      </w:r>
      <w:r w:rsidRPr="005207F2">
        <w:rPr>
          <w:rFonts w:ascii="Calibri" w:hAnsi="Calibri" w:cs="Calibri"/>
          <w:szCs w:val="24"/>
        </w:rPr>
        <w:t>one.</w:t>
      </w:r>
    </w:p>
    <w:p w14:paraId="57C73765" w14:textId="77777777" w:rsidR="00E81B4B" w:rsidRPr="00853D85" w:rsidRDefault="00E81B4B" w:rsidP="00A8307E">
      <w:pPr>
        <w:pStyle w:val="Heading3"/>
      </w:pPr>
      <w:r w:rsidRPr="00853D85">
        <w:t xml:space="preserve">Common Stakeholder Questions </w:t>
      </w:r>
    </w:p>
    <w:p w14:paraId="10A50313" w14:textId="35CF5B47" w:rsidR="00E81B4B" w:rsidRPr="005207F2" w:rsidRDefault="001723B9" w:rsidP="008F241B">
      <w:r>
        <w:t>It’s</w:t>
      </w:r>
      <w:r w:rsidR="00917661">
        <w:t xml:space="preserve"> helpful to be prepared for common stakeholder questions on decolonization.</w:t>
      </w:r>
      <w:r>
        <w:t xml:space="preserve"> </w:t>
      </w:r>
      <w:r w:rsidR="00297794">
        <w:t xml:space="preserve">Below are some </w:t>
      </w:r>
      <w:r w:rsidR="005477F2">
        <w:t xml:space="preserve">typical </w:t>
      </w:r>
      <w:r w:rsidR="00297794">
        <w:t xml:space="preserve">questions </w:t>
      </w:r>
      <w:r w:rsidR="005477F2">
        <w:t xml:space="preserve">and </w:t>
      </w:r>
      <w:r w:rsidR="00917661">
        <w:t xml:space="preserve">tips </w:t>
      </w:r>
      <w:r w:rsidR="005477F2">
        <w:t>on how to address them:</w:t>
      </w:r>
    </w:p>
    <w:p w14:paraId="25739A2A" w14:textId="21F158D5" w:rsidR="00E81B4B" w:rsidRPr="005207F2" w:rsidRDefault="00E81B4B" w:rsidP="00A8307E">
      <w:pPr>
        <w:pStyle w:val="ListParagraph"/>
        <w:numPr>
          <w:ilvl w:val="0"/>
          <w:numId w:val="23"/>
        </w:numPr>
        <w:contextualSpacing w:val="0"/>
        <w:rPr>
          <w:rFonts w:ascii="Calibri" w:hAnsi="Calibri" w:cs="Calibri"/>
          <w:szCs w:val="24"/>
        </w:rPr>
      </w:pPr>
      <w:r w:rsidRPr="00397B42">
        <w:rPr>
          <w:rFonts w:ascii="Calibri" w:hAnsi="Calibri" w:cs="Calibri"/>
          <w:b/>
          <w:szCs w:val="24"/>
        </w:rPr>
        <w:t>What is the evidence for decolonization?</w:t>
      </w:r>
      <w:r w:rsidRPr="00397B42">
        <w:rPr>
          <w:rFonts w:ascii="Calibri" w:hAnsi="Calibri" w:cs="Calibri"/>
          <w:b/>
          <w:szCs w:val="24"/>
        </w:rPr>
        <w:br/>
      </w:r>
      <w:r w:rsidR="00917661">
        <w:rPr>
          <w:rFonts w:ascii="Calibri" w:hAnsi="Calibri" w:cs="Calibri"/>
          <w:szCs w:val="24"/>
        </w:rPr>
        <w:t>You should</w:t>
      </w:r>
      <w:r w:rsidR="005477F2">
        <w:rPr>
          <w:rFonts w:ascii="Calibri" w:hAnsi="Calibri" w:cs="Calibri"/>
          <w:szCs w:val="24"/>
        </w:rPr>
        <w:t xml:space="preserve"> refer </w:t>
      </w:r>
      <w:r w:rsidR="002225FB" w:rsidRPr="005207F2">
        <w:t xml:space="preserve">to the </w:t>
      </w:r>
      <w:r w:rsidR="002225FB">
        <w:t>presentation</w:t>
      </w:r>
      <w:r w:rsidR="004A05C5">
        <w:t xml:space="preserve"> titled</w:t>
      </w:r>
      <w:r w:rsidR="002225FB" w:rsidRPr="005207F2">
        <w:rPr>
          <w:b/>
          <w:bCs/>
        </w:rPr>
        <w:t xml:space="preserve"> “</w:t>
      </w:r>
      <w:hyperlink r:id="rId14" w:history="1">
        <w:r w:rsidR="002225FB" w:rsidRPr="00134B8C">
          <w:rPr>
            <w:rStyle w:val="Hyperlink"/>
            <w:b/>
            <w:bCs/>
          </w:rPr>
          <w:t>The Evidence Behind Decolonization Strategies for MRSA</w:t>
        </w:r>
      </w:hyperlink>
      <w:r w:rsidR="00C71EA3">
        <w:rPr>
          <w:b/>
          <w:bCs/>
          <w:color w:val="0070C0"/>
          <w:u w:val="single"/>
        </w:rPr>
        <w:t>,</w:t>
      </w:r>
      <w:r w:rsidR="004A05C5">
        <w:t>” available on the Toolkit’s Decolonization topic page</w:t>
      </w:r>
      <w:r w:rsidR="00917661">
        <w:t xml:space="preserve">, for more in-depth information and </w:t>
      </w:r>
      <w:r w:rsidR="00397B42">
        <w:t>talking points.</w:t>
      </w:r>
    </w:p>
    <w:p w14:paraId="5EEE01D1" w14:textId="23309279" w:rsidR="00E81B4B" w:rsidRPr="005207F2" w:rsidRDefault="00E81B4B" w:rsidP="008F241B">
      <w:pPr>
        <w:pStyle w:val="ListParagraph"/>
        <w:ind w:left="360"/>
        <w:contextualSpacing w:val="0"/>
        <w:rPr>
          <w:rFonts w:ascii="Calibri" w:hAnsi="Calibri" w:cs="Calibri"/>
          <w:szCs w:val="24"/>
        </w:rPr>
      </w:pPr>
      <w:r w:rsidRPr="005207F2">
        <w:rPr>
          <w:rFonts w:ascii="Calibri" w:hAnsi="Calibri" w:cs="Calibri"/>
          <w:szCs w:val="24"/>
        </w:rPr>
        <w:t xml:space="preserve">Some of the more notable </w:t>
      </w:r>
      <w:r w:rsidR="004C67D0">
        <w:rPr>
          <w:rFonts w:ascii="Calibri" w:hAnsi="Calibri" w:cs="Calibri"/>
          <w:szCs w:val="24"/>
        </w:rPr>
        <w:t xml:space="preserve">studies </w:t>
      </w:r>
      <w:r w:rsidR="00397B42">
        <w:rPr>
          <w:rFonts w:ascii="Calibri" w:hAnsi="Calibri" w:cs="Calibri"/>
          <w:szCs w:val="24"/>
        </w:rPr>
        <w:t xml:space="preserve">on </w:t>
      </w:r>
      <w:r w:rsidR="004C67D0">
        <w:rPr>
          <w:rFonts w:ascii="Calibri" w:hAnsi="Calibri" w:cs="Calibri"/>
          <w:szCs w:val="24"/>
        </w:rPr>
        <w:t xml:space="preserve">decolonization are </w:t>
      </w:r>
      <w:r w:rsidRPr="005207F2">
        <w:rPr>
          <w:rFonts w:ascii="Calibri" w:hAnsi="Calibri" w:cs="Calibri"/>
          <w:szCs w:val="24"/>
        </w:rPr>
        <w:t xml:space="preserve">listed </w:t>
      </w:r>
      <w:r w:rsidR="001F4956">
        <w:rPr>
          <w:rFonts w:ascii="Calibri" w:hAnsi="Calibri" w:cs="Calibri"/>
          <w:szCs w:val="24"/>
        </w:rPr>
        <w:t>below</w:t>
      </w:r>
      <w:r w:rsidRPr="005207F2">
        <w:rPr>
          <w:rFonts w:ascii="Calibri" w:hAnsi="Calibri" w:cs="Calibri"/>
          <w:szCs w:val="24"/>
        </w:rPr>
        <w:t>:</w:t>
      </w:r>
    </w:p>
    <w:p w14:paraId="085BAB8F" w14:textId="196FE1E8" w:rsidR="00E81B4B" w:rsidRPr="005207F2" w:rsidRDefault="00E81B4B" w:rsidP="00F0361C">
      <w:pPr>
        <w:pStyle w:val="ListParagraph"/>
        <w:keepLines/>
        <w:numPr>
          <w:ilvl w:val="1"/>
          <w:numId w:val="19"/>
        </w:numPr>
        <w:ind w:left="1080"/>
        <w:contextualSpacing w:val="0"/>
        <w:rPr>
          <w:rFonts w:ascii="Calibri" w:hAnsi="Calibri" w:cs="Calibri"/>
          <w:szCs w:val="24"/>
        </w:rPr>
      </w:pPr>
      <w:r w:rsidRPr="00A8307E">
        <w:rPr>
          <w:rFonts w:ascii="Calibri" w:hAnsi="Calibri" w:cs="Calibri"/>
          <w:b/>
          <w:bCs/>
          <w:szCs w:val="24"/>
        </w:rPr>
        <w:t>Vernon MO, Hayden MK, Trick WE, et al.</w:t>
      </w:r>
      <w:r w:rsidR="004C67D0">
        <w:rPr>
          <w:rFonts w:ascii="Calibri" w:hAnsi="Calibri" w:cs="Calibri"/>
          <w:b/>
          <w:bCs/>
          <w:szCs w:val="24"/>
          <w:vertAlign w:val="superscript"/>
        </w:rPr>
        <w:t>1</w:t>
      </w:r>
      <w:r w:rsidRPr="00A8307E">
        <w:rPr>
          <w:rFonts w:ascii="Calibri" w:hAnsi="Calibri" w:cs="Calibri"/>
          <w:b/>
          <w:bCs/>
          <w:szCs w:val="24"/>
        </w:rPr>
        <w:t xml:space="preserve"> </w:t>
      </w:r>
      <w:r w:rsidR="004C67D0">
        <w:rPr>
          <w:rFonts w:ascii="Calibri" w:hAnsi="Calibri" w:cs="Calibri"/>
          <w:szCs w:val="24"/>
        </w:rPr>
        <w:br/>
      </w:r>
      <w:r w:rsidRPr="005207F2">
        <w:rPr>
          <w:rFonts w:ascii="Calibri" w:hAnsi="Calibri" w:cs="Calibri"/>
          <w:szCs w:val="24"/>
        </w:rPr>
        <w:t xml:space="preserve">Chlorhexidine gluconate to cleanse patients in a medical intensive care unit: the effectiveness of source control to reduce the bioburden of vancomycin-resistant enterococci. </w:t>
      </w:r>
      <w:r w:rsidR="004C67D0">
        <w:rPr>
          <w:rFonts w:ascii="Calibri" w:hAnsi="Calibri" w:cs="Calibri"/>
          <w:szCs w:val="24"/>
        </w:rPr>
        <w:br/>
      </w:r>
      <w:r w:rsidRPr="00A8307E">
        <w:rPr>
          <w:rFonts w:ascii="Calibri" w:hAnsi="Calibri" w:cs="Calibri"/>
          <w:i/>
          <w:iCs/>
          <w:szCs w:val="24"/>
        </w:rPr>
        <w:t>Arch Intern Med</w:t>
      </w:r>
      <w:r w:rsidRPr="005207F2">
        <w:rPr>
          <w:rFonts w:ascii="Calibri" w:hAnsi="Calibri" w:cs="Calibri"/>
          <w:szCs w:val="24"/>
        </w:rPr>
        <w:t>. 2006 Feb 13;166(3):306-12. PMID: 16476870.</w:t>
      </w:r>
    </w:p>
    <w:p w14:paraId="3FD13D94" w14:textId="743A52BA" w:rsidR="00E81B4B" w:rsidRPr="005207F2" w:rsidRDefault="00E81B4B" w:rsidP="00F0361C">
      <w:pPr>
        <w:pStyle w:val="ListParagraph"/>
        <w:keepLines/>
        <w:numPr>
          <w:ilvl w:val="1"/>
          <w:numId w:val="19"/>
        </w:numPr>
        <w:ind w:left="1080"/>
        <w:contextualSpacing w:val="0"/>
        <w:rPr>
          <w:rFonts w:ascii="Calibri" w:hAnsi="Calibri" w:cs="Calibri"/>
          <w:szCs w:val="24"/>
        </w:rPr>
      </w:pPr>
      <w:proofErr w:type="spellStart"/>
      <w:r w:rsidRPr="00A8307E">
        <w:rPr>
          <w:rFonts w:ascii="Calibri" w:hAnsi="Calibri" w:cs="Calibri"/>
          <w:b/>
          <w:bCs/>
          <w:szCs w:val="24"/>
        </w:rPr>
        <w:lastRenderedPageBreak/>
        <w:t>Climo</w:t>
      </w:r>
      <w:proofErr w:type="spellEnd"/>
      <w:r w:rsidRPr="00A8307E">
        <w:rPr>
          <w:rFonts w:ascii="Calibri" w:hAnsi="Calibri" w:cs="Calibri"/>
          <w:b/>
          <w:bCs/>
          <w:szCs w:val="24"/>
        </w:rPr>
        <w:t xml:space="preserve"> MW, </w:t>
      </w:r>
      <w:proofErr w:type="spellStart"/>
      <w:r w:rsidRPr="00A8307E">
        <w:rPr>
          <w:rFonts w:ascii="Calibri" w:hAnsi="Calibri" w:cs="Calibri"/>
          <w:b/>
          <w:bCs/>
          <w:szCs w:val="24"/>
        </w:rPr>
        <w:t>Sepkowitz</w:t>
      </w:r>
      <w:proofErr w:type="spellEnd"/>
      <w:r w:rsidRPr="00A8307E">
        <w:rPr>
          <w:rFonts w:ascii="Calibri" w:hAnsi="Calibri" w:cs="Calibri"/>
          <w:b/>
          <w:bCs/>
          <w:szCs w:val="24"/>
        </w:rPr>
        <w:t xml:space="preserve"> KA, Zuccotti G, et al.</w:t>
      </w:r>
      <w:r w:rsidR="004C67D0">
        <w:rPr>
          <w:rFonts w:ascii="Calibri" w:hAnsi="Calibri" w:cs="Calibri"/>
          <w:b/>
          <w:bCs/>
          <w:szCs w:val="24"/>
          <w:vertAlign w:val="superscript"/>
        </w:rPr>
        <w:t>2</w:t>
      </w:r>
      <w:r w:rsidRPr="00A8307E">
        <w:rPr>
          <w:rFonts w:ascii="Calibri" w:hAnsi="Calibri" w:cs="Calibri"/>
          <w:b/>
          <w:bCs/>
          <w:szCs w:val="24"/>
        </w:rPr>
        <w:t xml:space="preserve"> </w:t>
      </w:r>
      <w:r w:rsidR="004C67D0" w:rsidRPr="00A8307E">
        <w:rPr>
          <w:rFonts w:ascii="Calibri" w:hAnsi="Calibri" w:cs="Calibri"/>
          <w:b/>
          <w:bCs/>
          <w:szCs w:val="24"/>
        </w:rPr>
        <w:br/>
      </w:r>
      <w:r w:rsidRPr="005207F2">
        <w:rPr>
          <w:rFonts w:ascii="Calibri" w:hAnsi="Calibri" w:cs="Calibri"/>
          <w:szCs w:val="24"/>
        </w:rPr>
        <w:t xml:space="preserve">The effect of daily bathing with chlorhexidine on the acquisition of methicillin-resistant </w:t>
      </w:r>
      <w:r w:rsidRPr="00A8307E">
        <w:rPr>
          <w:rFonts w:ascii="Calibri" w:hAnsi="Calibri" w:cs="Calibri"/>
          <w:i/>
          <w:iCs/>
          <w:szCs w:val="24"/>
        </w:rPr>
        <w:t>Staphylococcus aureus</w:t>
      </w:r>
      <w:r w:rsidRPr="005207F2">
        <w:rPr>
          <w:rFonts w:ascii="Calibri" w:hAnsi="Calibri" w:cs="Calibri"/>
          <w:szCs w:val="24"/>
        </w:rPr>
        <w:t xml:space="preserve">, vancomycin-resistant </w:t>
      </w:r>
      <w:r w:rsidRPr="00A8307E">
        <w:rPr>
          <w:rFonts w:ascii="Calibri" w:hAnsi="Calibri" w:cs="Calibri"/>
          <w:i/>
          <w:iCs/>
          <w:szCs w:val="24"/>
        </w:rPr>
        <w:t>Enterococcus</w:t>
      </w:r>
      <w:r w:rsidRPr="005207F2">
        <w:rPr>
          <w:rFonts w:ascii="Calibri" w:hAnsi="Calibri" w:cs="Calibri"/>
          <w:szCs w:val="24"/>
        </w:rPr>
        <w:t xml:space="preserve">, and healthcare-associated bloodstream infections: results of a quasi-experimental multicenter trial. </w:t>
      </w:r>
      <w:r w:rsidR="004C67D0">
        <w:rPr>
          <w:rFonts w:ascii="Calibri" w:hAnsi="Calibri" w:cs="Calibri"/>
          <w:szCs w:val="24"/>
        </w:rPr>
        <w:br/>
      </w:r>
      <w:r w:rsidRPr="00A8307E">
        <w:rPr>
          <w:rFonts w:ascii="Calibri" w:hAnsi="Calibri" w:cs="Calibri"/>
          <w:i/>
          <w:iCs/>
          <w:szCs w:val="24"/>
        </w:rPr>
        <w:t>Crit Care Med</w:t>
      </w:r>
      <w:r w:rsidRPr="005207F2">
        <w:rPr>
          <w:rFonts w:ascii="Calibri" w:hAnsi="Calibri" w:cs="Calibri"/>
          <w:szCs w:val="24"/>
        </w:rPr>
        <w:t>. 2009 Jun;37(6):1858-65. PMID: 19384220.</w:t>
      </w:r>
    </w:p>
    <w:p w14:paraId="59342C2F" w14:textId="053EA79D" w:rsidR="00E81B4B" w:rsidRPr="005207F2" w:rsidRDefault="00E81B4B" w:rsidP="00F0361C">
      <w:pPr>
        <w:pStyle w:val="ListParagraph"/>
        <w:keepLines/>
        <w:numPr>
          <w:ilvl w:val="1"/>
          <w:numId w:val="19"/>
        </w:numPr>
        <w:ind w:left="1080"/>
        <w:contextualSpacing w:val="0"/>
        <w:rPr>
          <w:rFonts w:ascii="Calibri" w:hAnsi="Calibri" w:cs="Calibri"/>
          <w:szCs w:val="24"/>
        </w:rPr>
      </w:pPr>
      <w:r w:rsidRPr="00A8307E">
        <w:rPr>
          <w:rFonts w:ascii="Calibri" w:hAnsi="Calibri" w:cs="Calibri"/>
          <w:b/>
          <w:bCs/>
          <w:szCs w:val="24"/>
        </w:rPr>
        <w:t>Bleasdale SC, Trick WE, Gonzalez IM, et al.</w:t>
      </w:r>
      <w:r w:rsidR="004C67D0" w:rsidRPr="00A8307E">
        <w:rPr>
          <w:rFonts w:ascii="Calibri" w:hAnsi="Calibri" w:cs="Calibri"/>
          <w:b/>
          <w:bCs/>
          <w:szCs w:val="24"/>
          <w:vertAlign w:val="superscript"/>
        </w:rPr>
        <w:t>3</w:t>
      </w:r>
      <w:r w:rsidR="004C67D0">
        <w:rPr>
          <w:rFonts w:ascii="Calibri" w:hAnsi="Calibri" w:cs="Calibri"/>
          <w:szCs w:val="24"/>
        </w:rPr>
        <w:br/>
      </w:r>
      <w:r w:rsidRPr="005207F2">
        <w:rPr>
          <w:rFonts w:ascii="Calibri" w:hAnsi="Calibri" w:cs="Calibri"/>
          <w:szCs w:val="24"/>
        </w:rPr>
        <w:t xml:space="preserve">Effectiveness of chlorhexidine bathing to reduce catheter-associated bloodstream infections in medical intensive care unit patients. </w:t>
      </w:r>
      <w:r w:rsidR="004C67D0">
        <w:rPr>
          <w:rFonts w:ascii="Calibri" w:hAnsi="Calibri" w:cs="Calibri"/>
          <w:szCs w:val="24"/>
        </w:rPr>
        <w:br/>
      </w:r>
      <w:r w:rsidRPr="00A8307E">
        <w:rPr>
          <w:rFonts w:ascii="Calibri" w:hAnsi="Calibri" w:cs="Calibri"/>
          <w:i/>
          <w:iCs/>
          <w:szCs w:val="24"/>
        </w:rPr>
        <w:t>Arch Intern Med</w:t>
      </w:r>
      <w:r w:rsidRPr="005207F2">
        <w:rPr>
          <w:rFonts w:ascii="Calibri" w:hAnsi="Calibri" w:cs="Calibri"/>
          <w:szCs w:val="24"/>
        </w:rPr>
        <w:t>. 2007 Oct 22;167(19):2073-9. PMID: 17954801.</w:t>
      </w:r>
    </w:p>
    <w:p w14:paraId="418FE39C" w14:textId="4FB0E450" w:rsidR="00E81B4B" w:rsidRPr="005207F2" w:rsidRDefault="00E81B4B" w:rsidP="00F0361C">
      <w:pPr>
        <w:pStyle w:val="ListParagraph"/>
        <w:keepLines/>
        <w:numPr>
          <w:ilvl w:val="1"/>
          <w:numId w:val="19"/>
        </w:numPr>
        <w:ind w:left="1080"/>
        <w:contextualSpacing w:val="0"/>
        <w:rPr>
          <w:rFonts w:ascii="Calibri" w:hAnsi="Calibri" w:cs="Calibri"/>
          <w:szCs w:val="24"/>
        </w:rPr>
      </w:pPr>
      <w:r w:rsidRPr="00A8307E">
        <w:rPr>
          <w:rFonts w:ascii="Calibri" w:hAnsi="Calibri" w:cs="Calibri"/>
          <w:b/>
          <w:bCs/>
          <w:szCs w:val="24"/>
        </w:rPr>
        <w:t xml:space="preserve">Popovich KJ, Hota B, Hayes R, </w:t>
      </w:r>
      <w:r w:rsidR="00EE48D5" w:rsidRPr="00A8307E">
        <w:rPr>
          <w:rFonts w:ascii="Calibri" w:hAnsi="Calibri" w:cs="Calibri"/>
          <w:b/>
          <w:bCs/>
          <w:szCs w:val="24"/>
        </w:rPr>
        <w:t>et al</w:t>
      </w:r>
      <w:r w:rsidR="00F3737B" w:rsidRPr="00A8307E">
        <w:rPr>
          <w:rFonts w:ascii="Calibri" w:hAnsi="Calibri" w:cs="Calibri"/>
          <w:b/>
          <w:bCs/>
          <w:szCs w:val="24"/>
        </w:rPr>
        <w:t>.</w:t>
      </w:r>
      <w:r w:rsidR="004C67D0">
        <w:rPr>
          <w:rFonts w:ascii="Calibri" w:hAnsi="Calibri" w:cs="Calibri"/>
          <w:b/>
          <w:bCs/>
          <w:szCs w:val="24"/>
          <w:vertAlign w:val="superscript"/>
        </w:rPr>
        <w:t>4</w:t>
      </w:r>
      <w:r w:rsidRPr="005207F2">
        <w:rPr>
          <w:rFonts w:ascii="Calibri" w:hAnsi="Calibri" w:cs="Calibri"/>
          <w:szCs w:val="24"/>
        </w:rPr>
        <w:t xml:space="preserve"> </w:t>
      </w:r>
      <w:r w:rsidR="004C67D0">
        <w:rPr>
          <w:rFonts w:ascii="Calibri" w:hAnsi="Calibri" w:cs="Calibri"/>
          <w:szCs w:val="24"/>
        </w:rPr>
        <w:br/>
      </w:r>
      <w:r w:rsidRPr="005207F2">
        <w:rPr>
          <w:rFonts w:ascii="Calibri" w:hAnsi="Calibri" w:cs="Calibri"/>
          <w:szCs w:val="24"/>
        </w:rPr>
        <w:t xml:space="preserve">Effectiveness of routine patient cleansing with chlorhexidine gluconate for infection prevention in the medical intensive care unit. </w:t>
      </w:r>
      <w:r w:rsidR="004C67D0">
        <w:rPr>
          <w:rFonts w:ascii="Calibri" w:hAnsi="Calibri" w:cs="Calibri"/>
          <w:szCs w:val="24"/>
        </w:rPr>
        <w:br/>
      </w:r>
      <w:r w:rsidRPr="00A8307E">
        <w:rPr>
          <w:rFonts w:ascii="Calibri" w:hAnsi="Calibri" w:cs="Calibri"/>
          <w:i/>
          <w:iCs/>
          <w:szCs w:val="24"/>
        </w:rPr>
        <w:t>Infect Control Hosp Epidemiol</w:t>
      </w:r>
      <w:r w:rsidRPr="005207F2">
        <w:rPr>
          <w:rFonts w:ascii="Calibri" w:hAnsi="Calibri" w:cs="Calibri"/>
          <w:szCs w:val="24"/>
        </w:rPr>
        <w:t>. 2009 Oct;30(10):959-63. PMID: 19712033.</w:t>
      </w:r>
    </w:p>
    <w:p w14:paraId="481BBE06" w14:textId="5033A655" w:rsidR="00E81B4B" w:rsidRPr="005207F2" w:rsidRDefault="00E81B4B" w:rsidP="00F0361C">
      <w:pPr>
        <w:pStyle w:val="ListParagraph"/>
        <w:keepLines/>
        <w:numPr>
          <w:ilvl w:val="1"/>
          <w:numId w:val="19"/>
        </w:numPr>
        <w:ind w:left="1080"/>
        <w:contextualSpacing w:val="0"/>
        <w:rPr>
          <w:rFonts w:ascii="Calibri" w:hAnsi="Calibri" w:cs="Calibri"/>
          <w:szCs w:val="24"/>
        </w:rPr>
      </w:pPr>
      <w:proofErr w:type="spellStart"/>
      <w:r w:rsidRPr="00A8307E">
        <w:rPr>
          <w:rFonts w:ascii="Calibri" w:hAnsi="Calibri" w:cs="Calibri"/>
          <w:b/>
          <w:bCs/>
          <w:szCs w:val="24"/>
        </w:rPr>
        <w:t>Climo</w:t>
      </w:r>
      <w:proofErr w:type="spellEnd"/>
      <w:r w:rsidRPr="00A8307E">
        <w:rPr>
          <w:rFonts w:ascii="Calibri" w:hAnsi="Calibri" w:cs="Calibri"/>
          <w:b/>
          <w:bCs/>
          <w:szCs w:val="24"/>
        </w:rPr>
        <w:t xml:space="preserve"> MW, </w:t>
      </w:r>
      <w:proofErr w:type="spellStart"/>
      <w:r w:rsidRPr="00A8307E">
        <w:rPr>
          <w:rFonts w:ascii="Calibri" w:hAnsi="Calibri" w:cs="Calibri"/>
          <w:b/>
          <w:bCs/>
          <w:szCs w:val="24"/>
        </w:rPr>
        <w:t>Yokoe</w:t>
      </w:r>
      <w:proofErr w:type="spellEnd"/>
      <w:r w:rsidRPr="00A8307E">
        <w:rPr>
          <w:rFonts w:ascii="Calibri" w:hAnsi="Calibri" w:cs="Calibri"/>
          <w:b/>
          <w:bCs/>
          <w:szCs w:val="24"/>
        </w:rPr>
        <w:t xml:space="preserve"> DS, Warren DK, et al.</w:t>
      </w:r>
      <w:r w:rsidR="004C67D0">
        <w:rPr>
          <w:rFonts w:ascii="Calibri" w:hAnsi="Calibri" w:cs="Calibri"/>
          <w:b/>
          <w:bCs/>
          <w:szCs w:val="24"/>
          <w:vertAlign w:val="superscript"/>
        </w:rPr>
        <w:t>5</w:t>
      </w:r>
      <w:r w:rsidRPr="005207F2">
        <w:rPr>
          <w:rFonts w:ascii="Calibri" w:hAnsi="Calibri" w:cs="Calibri"/>
          <w:szCs w:val="24"/>
        </w:rPr>
        <w:t xml:space="preserve"> </w:t>
      </w:r>
      <w:r w:rsidR="004C67D0">
        <w:rPr>
          <w:rFonts w:ascii="Calibri" w:hAnsi="Calibri" w:cs="Calibri"/>
          <w:szCs w:val="24"/>
        </w:rPr>
        <w:br/>
      </w:r>
      <w:r w:rsidRPr="005207F2">
        <w:rPr>
          <w:rFonts w:ascii="Calibri" w:hAnsi="Calibri" w:cs="Calibri"/>
          <w:szCs w:val="24"/>
        </w:rPr>
        <w:t xml:space="preserve">Effect of daily chlorhexidine bathing on hospital-acquired infection. </w:t>
      </w:r>
      <w:r w:rsidR="004C67D0">
        <w:rPr>
          <w:rFonts w:ascii="Calibri" w:hAnsi="Calibri" w:cs="Calibri"/>
          <w:szCs w:val="24"/>
        </w:rPr>
        <w:br/>
      </w:r>
      <w:r w:rsidRPr="00A8307E">
        <w:rPr>
          <w:rFonts w:ascii="Calibri" w:hAnsi="Calibri" w:cs="Calibri"/>
          <w:i/>
          <w:iCs/>
          <w:szCs w:val="24"/>
        </w:rPr>
        <w:t>N Engl J Med</w:t>
      </w:r>
      <w:r w:rsidRPr="005207F2">
        <w:rPr>
          <w:rFonts w:ascii="Calibri" w:hAnsi="Calibri" w:cs="Calibri"/>
          <w:szCs w:val="24"/>
        </w:rPr>
        <w:t>. 2013 Feb 7;368(6):533-42. PMID: 23388005.</w:t>
      </w:r>
    </w:p>
    <w:p w14:paraId="6B55CAA9" w14:textId="6880D97A" w:rsidR="00E81B4B" w:rsidRPr="005207F2" w:rsidRDefault="00E81B4B" w:rsidP="00F0361C">
      <w:pPr>
        <w:pStyle w:val="ListParagraph"/>
        <w:keepLines/>
        <w:numPr>
          <w:ilvl w:val="1"/>
          <w:numId w:val="19"/>
        </w:numPr>
        <w:ind w:left="1080"/>
        <w:contextualSpacing w:val="0"/>
        <w:rPr>
          <w:rFonts w:ascii="Calibri" w:hAnsi="Calibri" w:cs="Calibri"/>
          <w:szCs w:val="24"/>
        </w:rPr>
      </w:pPr>
      <w:proofErr w:type="spellStart"/>
      <w:r w:rsidRPr="00A8307E">
        <w:rPr>
          <w:rFonts w:ascii="Calibri" w:hAnsi="Calibri" w:cs="Calibri"/>
          <w:b/>
          <w:bCs/>
          <w:szCs w:val="24"/>
        </w:rPr>
        <w:t>Milstone</w:t>
      </w:r>
      <w:proofErr w:type="spellEnd"/>
      <w:r w:rsidRPr="00A8307E">
        <w:rPr>
          <w:rFonts w:ascii="Calibri" w:hAnsi="Calibri" w:cs="Calibri"/>
          <w:b/>
          <w:bCs/>
          <w:szCs w:val="24"/>
        </w:rPr>
        <w:t xml:space="preserve"> AM, </w:t>
      </w:r>
      <w:proofErr w:type="spellStart"/>
      <w:r w:rsidRPr="00A8307E">
        <w:rPr>
          <w:rFonts w:ascii="Calibri" w:hAnsi="Calibri" w:cs="Calibri"/>
          <w:b/>
          <w:bCs/>
          <w:szCs w:val="24"/>
        </w:rPr>
        <w:t>Elward</w:t>
      </w:r>
      <w:proofErr w:type="spellEnd"/>
      <w:r w:rsidRPr="00A8307E">
        <w:rPr>
          <w:rFonts w:ascii="Calibri" w:hAnsi="Calibri" w:cs="Calibri"/>
          <w:b/>
          <w:bCs/>
          <w:szCs w:val="24"/>
        </w:rPr>
        <w:t xml:space="preserve"> A, Song X, et al.</w:t>
      </w:r>
      <w:r w:rsidR="004C67D0" w:rsidRPr="00A8307E">
        <w:rPr>
          <w:rFonts w:ascii="Calibri" w:hAnsi="Calibri" w:cs="Calibri"/>
          <w:b/>
          <w:bCs/>
          <w:szCs w:val="24"/>
          <w:vertAlign w:val="superscript"/>
        </w:rPr>
        <w:t>6</w:t>
      </w:r>
      <w:r w:rsidR="004C67D0">
        <w:rPr>
          <w:rFonts w:ascii="Calibri" w:hAnsi="Calibri" w:cs="Calibri"/>
          <w:szCs w:val="24"/>
        </w:rPr>
        <w:br/>
      </w:r>
      <w:r w:rsidRPr="005207F2">
        <w:rPr>
          <w:rFonts w:ascii="Calibri" w:hAnsi="Calibri" w:cs="Calibri"/>
          <w:szCs w:val="24"/>
        </w:rPr>
        <w:t xml:space="preserve">Daily chlorhexidine bathing to reduce </w:t>
      </w:r>
      <w:proofErr w:type="spellStart"/>
      <w:r w:rsidRPr="005207F2">
        <w:rPr>
          <w:rFonts w:ascii="Calibri" w:hAnsi="Calibri" w:cs="Calibri"/>
          <w:szCs w:val="24"/>
        </w:rPr>
        <w:t>bacteraemia</w:t>
      </w:r>
      <w:proofErr w:type="spellEnd"/>
      <w:r w:rsidRPr="005207F2">
        <w:rPr>
          <w:rFonts w:ascii="Calibri" w:hAnsi="Calibri" w:cs="Calibri"/>
          <w:szCs w:val="24"/>
        </w:rPr>
        <w:t xml:space="preserve"> in critically ill children: a </w:t>
      </w:r>
      <w:proofErr w:type="spellStart"/>
      <w:r w:rsidRPr="005207F2">
        <w:rPr>
          <w:rFonts w:ascii="Calibri" w:hAnsi="Calibri" w:cs="Calibri"/>
          <w:szCs w:val="24"/>
        </w:rPr>
        <w:t>multicentre</w:t>
      </w:r>
      <w:proofErr w:type="spellEnd"/>
      <w:r w:rsidRPr="005207F2">
        <w:rPr>
          <w:rFonts w:ascii="Calibri" w:hAnsi="Calibri" w:cs="Calibri"/>
          <w:szCs w:val="24"/>
        </w:rPr>
        <w:t>, cluster-</w:t>
      </w:r>
      <w:proofErr w:type="spellStart"/>
      <w:r w:rsidRPr="005207F2">
        <w:rPr>
          <w:rFonts w:ascii="Calibri" w:hAnsi="Calibri" w:cs="Calibri"/>
          <w:szCs w:val="24"/>
        </w:rPr>
        <w:t>randomised</w:t>
      </w:r>
      <w:proofErr w:type="spellEnd"/>
      <w:r w:rsidRPr="005207F2">
        <w:rPr>
          <w:rFonts w:ascii="Calibri" w:hAnsi="Calibri" w:cs="Calibri"/>
          <w:szCs w:val="24"/>
        </w:rPr>
        <w:t xml:space="preserve">, crossover trial. </w:t>
      </w:r>
      <w:r w:rsidR="00C24B5F">
        <w:rPr>
          <w:rFonts w:ascii="Calibri" w:hAnsi="Calibri" w:cs="Calibri"/>
          <w:szCs w:val="24"/>
        </w:rPr>
        <w:br/>
      </w:r>
      <w:r w:rsidRPr="00A8307E">
        <w:rPr>
          <w:rFonts w:ascii="Calibri" w:hAnsi="Calibri" w:cs="Calibri"/>
          <w:i/>
          <w:iCs/>
          <w:szCs w:val="24"/>
        </w:rPr>
        <w:t>Lancet</w:t>
      </w:r>
      <w:r w:rsidRPr="005207F2">
        <w:rPr>
          <w:rFonts w:ascii="Calibri" w:hAnsi="Calibri" w:cs="Calibri"/>
          <w:szCs w:val="24"/>
        </w:rPr>
        <w:t>. 2013 Mar 30;381(9872):1099-106. PMID: 23363666.</w:t>
      </w:r>
      <w:r w:rsidR="00EE48D5">
        <w:rPr>
          <w:rFonts w:ascii="Calibri" w:hAnsi="Calibri" w:cs="Calibri"/>
          <w:szCs w:val="24"/>
          <w:vertAlign w:val="superscript"/>
        </w:rPr>
        <w:t>6</w:t>
      </w:r>
    </w:p>
    <w:p w14:paraId="554CB778" w14:textId="2BE9EDBF" w:rsidR="00E81B4B" w:rsidRPr="005207F2" w:rsidRDefault="00E81B4B" w:rsidP="00F0361C">
      <w:pPr>
        <w:pStyle w:val="ListParagraph"/>
        <w:keepLines/>
        <w:numPr>
          <w:ilvl w:val="1"/>
          <w:numId w:val="19"/>
        </w:numPr>
        <w:ind w:left="1080"/>
        <w:contextualSpacing w:val="0"/>
        <w:rPr>
          <w:rFonts w:ascii="Calibri" w:hAnsi="Calibri" w:cs="Calibri"/>
          <w:szCs w:val="24"/>
        </w:rPr>
      </w:pPr>
      <w:r w:rsidRPr="00A8307E">
        <w:rPr>
          <w:rFonts w:ascii="Calibri" w:hAnsi="Calibri" w:cs="Calibri"/>
          <w:b/>
          <w:bCs/>
          <w:szCs w:val="24"/>
        </w:rPr>
        <w:t>Huang SS, Septimus E, Kleinman K, et al.</w:t>
      </w:r>
      <w:r w:rsidR="00C24B5F" w:rsidRPr="00C24B5F">
        <w:rPr>
          <w:rFonts w:ascii="Calibri" w:hAnsi="Calibri" w:cs="Calibri"/>
          <w:b/>
          <w:bCs/>
          <w:szCs w:val="24"/>
          <w:vertAlign w:val="superscript"/>
        </w:rPr>
        <w:t>7</w:t>
      </w:r>
      <w:r w:rsidR="00C24B5F">
        <w:rPr>
          <w:rFonts w:ascii="Calibri" w:hAnsi="Calibri" w:cs="Calibri"/>
          <w:szCs w:val="24"/>
        </w:rPr>
        <w:br/>
      </w:r>
      <w:r w:rsidRPr="005207F2">
        <w:rPr>
          <w:rFonts w:ascii="Calibri" w:hAnsi="Calibri" w:cs="Calibri"/>
          <w:szCs w:val="24"/>
        </w:rPr>
        <w:t xml:space="preserve">Targeted versus universal decolonization to prevent ICU infection. </w:t>
      </w:r>
      <w:r w:rsidR="00C24B5F">
        <w:rPr>
          <w:rFonts w:ascii="Calibri" w:hAnsi="Calibri" w:cs="Calibri"/>
          <w:szCs w:val="24"/>
        </w:rPr>
        <w:br/>
      </w:r>
      <w:r w:rsidRPr="00A8307E">
        <w:rPr>
          <w:rFonts w:ascii="Calibri" w:hAnsi="Calibri" w:cs="Calibri"/>
          <w:i/>
          <w:iCs/>
          <w:szCs w:val="24"/>
        </w:rPr>
        <w:t>N Engl J Med</w:t>
      </w:r>
      <w:r w:rsidRPr="005207F2">
        <w:rPr>
          <w:rFonts w:ascii="Calibri" w:hAnsi="Calibri" w:cs="Calibri"/>
          <w:szCs w:val="24"/>
        </w:rPr>
        <w:t>. 2013 Jun 13;368(24):2255-65. PMID: 23718152.</w:t>
      </w:r>
    </w:p>
    <w:p w14:paraId="3A77B497" w14:textId="1E56DF92" w:rsidR="00EE48D5" w:rsidRPr="00F960A1" w:rsidRDefault="00EE48D5" w:rsidP="00F0361C">
      <w:pPr>
        <w:pStyle w:val="ListParagraph"/>
        <w:keepLines/>
        <w:numPr>
          <w:ilvl w:val="1"/>
          <w:numId w:val="19"/>
        </w:numPr>
        <w:ind w:left="1080"/>
        <w:contextualSpacing w:val="0"/>
        <w:rPr>
          <w:rFonts w:ascii="Calibri" w:hAnsi="Calibri" w:cs="Calibri"/>
          <w:szCs w:val="24"/>
        </w:rPr>
      </w:pPr>
      <w:r w:rsidRPr="00A8307E">
        <w:rPr>
          <w:rFonts w:ascii="Calibri" w:hAnsi="Calibri" w:cs="Calibri"/>
          <w:b/>
          <w:bCs/>
          <w:szCs w:val="24"/>
        </w:rPr>
        <w:t>Huang SS, Septimus E, Kleinman K, et al.</w:t>
      </w:r>
      <w:r w:rsidR="00C24B5F" w:rsidRPr="00A8307E">
        <w:rPr>
          <w:rFonts w:ascii="Calibri" w:hAnsi="Calibri" w:cs="Calibri"/>
          <w:b/>
          <w:bCs/>
          <w:szCs w:val="24"/>
          <w:vertAlign w:val="superscript"/>
        </w:rPr>
        <w:t>8</w:t>
      </w:r>
      <w:r w:rsidR="00C24B5F">
        <w:rPr>
          <w:rFonts w:ascii="Calibri" w:hAnsi="Calibri" w:cs="Calibri"/>
          <w:szCs w:val="24"/>
        </w:rPr>
        <w:br/>
      </w:r>
      <w:r w:rsidRPr="00F960A1">
        <w:rPr>
          <w:rFonts w:ascii="Calibri" w:hAnsi="Calibri" w:cs="Calibri"/>
          <w:szCs w:val="24"/>
        </w:rPr>
        <w:t>Chlorhexidine versus routine bathing to prevent multidrug-resistant organisms and all-cause bloodstream infections in general medical and surgical units (ABATE Infection trial): a cluster-</w:t>
      </w:r>
      <w:proofErr w:type="spellStart"/>
      <w:r w:rsidRPr="00F960A1">
        <w:rPr>
          <w:rFonts w:ascii="Calibri" w:hAnsi="Calibri" w:cs="Calibri"/>
          <w:szCs w:val="24"/>
        </w:rPr>
        <w:t>randomised</w:t>
      </w:r>
      <w:proofErr w:type="spellEnd"/>
      <w:r w:rsidRPr="00F960A1">
        <w:rPr>
          <w:rFonts w:ascii="Calibri" w:hAnsi="Calibri" w:cs="Calibri"/>
          <w:szCs w:val="24"/>
        </w:rPr>
        <w:t xml:space="preserve"> trial. </w:t>
      </w:r>
      <w:r w:rsidR="00C24B5F">
        <w:rPr>
          <w:rFonts w:ascii="Calibri" w:hAnsi="Calibri" w:cs="Calibri"/>
          <w:szCs w:val="24"/>
        </w:rPr>
        <w:br/>
      </w:r>
      <w:r w:rsidRPr="00A8307E">
        <w:rPr>
          <w:rFonts w:ascii="Calibri" w:hAnsi="Calibri" w:cs="Calibri"/>
          <w:i/>
          <w:iCs/>
          <w:szCs w:val="24"/>
        </w:rPr>
        <w:t>Lancet.</w:t>
      </w:r>
      <w:r w:rsidRPr="00F960A1">
        <w:rPr>
          <w:rFonts w:ascii="Calibri" w:hAnsi="Calibri" w:cs="Calibri"/>
          <w:szCs w:val="24"/>
        </w:rPr>
        <w:t xml:space="preserve"> 2019 Mar 23;393(10177):1205-1215. PMID: 30850112.</w:t>
      </w:r>
    </w:p>
    <w:p w14:paraId="30286E45" w14:textId="194FD56F" w:rsidR="00E81B4B" w:rsidRPr="005207F2" w:rsidRDefault="00E81B4B" w:rsidP="008F241B">
      <w:pPr>
        <w:pStyle w:val="ListParagraph"/>
        <w:numPr>
          <w:ilvl w:val="0"/>
          <w:numId w:val="19"/>
        </w:numPr>
        <w:ind w:left="360"/>
        <w:contextualSpacing w:val="0"/>
        <w:rPr>
          <w:rFonts w:ascii="Calibri" w:hAnsi="Calibri" w:cs="Calibri"/>
          <w:szCs w:val="24"/>
        </w:rPr>
      </w:pPr>
      <w:r w:rsidRPr="005207F2">
        <w:rPr>
          <w:rFonts w:ascii="Calibri" w:hAnsi="Calibri" w:cs="Calibri"/>
          <w:b/>
          <w:szCs w:val="24"/>
        </w:rPr>
        <w:t>What is the unit’s need for this intervention?</w:t>
      </w:r>
      <w:r w:rsidRPr="005207F2">
        <w:rPr>
          <w:rFonts w:ascii="Calibri" w:hAnsi="Calibri" w:cs="Calibri"/>
          <w:b/>
          <w:szCs w:val="24"/>
        </w:rPr>
        <w:br/>
      </w:r>
      <w:r w:rsidR="00EC3F1F">
        <w:rPr>
          <w:rFonts w:ascii="Calibri" w:hAnsi="Calibri" w:cs="Calibri"/>
          <w:szCs w:val="24"/>
        </w:rPr>
        <w:t xml:space="preserve">To answer this question, consider </w:t>
      </w:r>
      <w:r w:rsidR="00BB2F67">
        <w:rPr>
          <w:rFonts w:ascii="Calibri" w:hAnsi="Calibri" w:cs="Calibri"/>
          <w:szCs w:val="24"/>
        </w:rPr>
        <w:t xml:space="preserve">sharing </w:t>
      </w:r>
      <w:r w:rsidR="00EC3F1F">
        <w:rPr>
          <w:rFonts w:ascii="Calibri" w:hAnsi="Calibri" w:cs="Calibri"/>
          <w:szCs w:val="24"/>
        </w:rPr>
        <w:t>your</w:t>
      </w:r>
      <w:r w:rsidRPr="005207F2">
        <w:rPr>
          <w:rFonts w:ascii="Calibri" w:hAnsi="Calibri" w:cs="Calibri"/>
          <w:szCs w:val="24"/>
        </w:rPr>
        <w:t xml:space="preserve"> </w:t>
      </w:r>
      <w:proofErr w:type="gramStart"/>
      <w:r w:rsidRPr="005207F2">
        <w:rPr>
          <w:rFonts w:ascii="Calibri" w:hAnsi="Calibri" w:cs="Calibri"/>
          <w:szCs w:val="24"/>
        </w:rPr>
        <w:t>hospital</w:t>
      </w:r>
      <w:r w:rsidR="005C495F">
        <w:rPr>
          <w:rFonts w:ascii="Calibri" w:hAnsi="Calibri" w:cs="Calibri"/>
          <w:szCs w:val="24"/>
        </w:rPr>
        <w:t>’s</w:t>
      </w:r>
      <w:proofErr w:type="gramEnd"/>
      <w:r w:rsidRPr="005207F2">
        <w:rPr>
          <w:rFonts w:ascii="Calibri" w:hAnsi="Calibri" w:cs="Calibri"/>
          <w:szCs w:val="24"/>
        </w:rPr>
        <w:t xml:space="preserve"> and unit</w:t>
      </w:r>
      <w:r w:rsidR="005C495F">
        <w:rPr>
          <w:rFonts w:ascii="Calibri" w:hAnsi="Calibri" w:cs="Calibri"/>
          <w:szCs w:val="24"/>
        </w:rPr>
        <w:t>’s</w:t>
      </w:r>
      <w:r w:rsidRPr="005207F2">
        <w:rPr>
          <w:rFonts w:ascii="Calibri" w:hAnsi="Calibri" w:cs="Calibri"/>
          <w:szCs w:val="24"/>
        </w:rPr>
        <w:t xml:space="preserve"> MRSA and bloodstream infection</w:t>
      </w:r>
      <w:r w:rsidR="00DD497F">
        <w:rPr>
          <w:rFonts w:ascii="Calibri" w:hAnsi="Calibri" w:cs="Calibri"/>
          <w:szCs w:val="24"/>
        </w:rPr>
        <w:t xml:space="preserve"> rates</w:t>
      </w:r>
      <w:r w:rsidRPr="005207F2">
        <w:rPr>
          <w:rFonts w:ascii="Calibri" w:hAnsi="Calibri" w:cs="Calibri"/>
          <w:szCs w:val="24"/>
        </w:rPr>
        <w:t xml:space="preserve">, </w:t>
      </w:r>
      <w:r w:rsidR="00BB2F67">
        <w:rPr>
          <w:rFonts w:ascii="Calibri" w:hAnsi="Calibri" w:cs="Calibri"/>
          <w:szCs w:val="24"/>
        </w:rPr>
        <w:t xml:space="preserve">current </w:t>
      </w:r>
      <w:r w:rsidRPr="005207F2">
        <w:rPr>
          <w:rFonts w:ascii="Calibri" w:hAnsi="Calibri" w:cs="Calibri"/>
          <w:szCs w:val="24"/>
        </w:rPr>
        <w:t>national guidelines</w:t>
      </w:r>
      <w:r w:rsidR="00BB2F67">
        <w:rPr>
          <w:rFonts w:ascii="Calibri" w:hAnsi="Calibri" w:cs="Calibri"/>
          <w:szCs w:val="24"/>
        </w:rPr>
        <w:t xml:space="preserve"> and benchmarks</w:t>
      </w:r>
      <w:r w:rsidRPr="005207F2">
        <w:rPr>
          <w:rFonts w:ascii="Calibri" w:hAnsi="Calibri" w:cs="Calibri"/>
          <w:szCs w:val="24"/>
        </w:rPr>
        <w:t xml:space="preserve">, and relevant </w:t>
      </w:r>
      <w:r w:rsidR="00BB2F67">
        <w:rPr>
          <w:rFonts w:ascii="Calibri" w:hAnsi="Calibri" w:cs="Calibri"/>
          <w:szCs w:val="24"/>
        </w:rPr>
        <w:t>regulations</w:t>
      </w:r>
      <w:r w:rsidRPr="005207F2">
        <w:rPr>
          <w:rFonts w:ascii="Calibri" w:hAnsi="Calibri" w:cs="Calibri"/>
          <w:szCs w:val="24"/>
        </w:rPr>
        <w:t xml:space="preserve">. In particular, </w:t>
      </w:r>
      <w:r w:rsidR="00BB2F67">
        <w:rPr>
          <w:rFonts w:ascii="Calibri" w:hAnsi="Calibri" w:cs="Calibri"/>
          <w:szCs w:val="24"/>
        </w:rPr>
        <w:t>highlight</w:t>
      </w:r>
      <w:r w:rsidR="00101AB2">
        <w:rPr>
          <w:rFonts w:ascii="Calibri" w:hAnsi="Calibri" w:cs="Calibri"/>
          <w:szCs w:val="24"/>
        </w:rPr>
        <w:t xml:space="preserve"> any </w:t>
      </w:r>
      <w:r w:rsidRPr="005207F2">
        <w:rPr>
          <w:rFonts w:ascii="Calibri" w:hAnsi="Calibri" w:cs="Calibri"/>
          <w:szCs w:val="24"/>
        </w:rPr>
        <w:t xml:space="preserve">elevated rates of MRSA. Consult your hospital’s Infection Preventionist for accurate data. You may want to refer to the above section on </w:t>
      </w:r>
      <w:r w:rsidRPr="005207F2">
        <w:rPr>
          <w:rFonts w:ascii="Calibri" w:hAnsi="Calibri" w:cs="Calibri"/>
          <w:b/>
          <w:bCs/>
          <w:color w:val="007DA3" w:themeColor="accent1"/>
          <w:szCs w:val="24"/>
        </w:rPr>
        <w:t xml:space="preserve">Assess Your </w:t>
      </w:r>
      <w:r w:rsidR="006C2F96" w:rsidRPr="005207F2">
        <w:rPr>
          <w:rFonts w:ascii="Calibri" w:hAnsi="Calibri" w:cs="Calibri"/>
          <w:b/>
          <w:bCs/>
          <w:color w:val="007DA3" w:themeColor="accent1"/>
          <w:szCs w:val="24"/>
        </w:rPr>
        <w:t xml:space="preserve">Unit’s </w:t>
      </w:r>
      <w:r w:rsidRPr="005207F2">
        <w:rPr>
          <w:rFonts w:ascii="Calibri" w:hAnsi="Calibri" w:cs="Calibri"/>
          <w:b/>
          <w:bCs/>
          <w:color w:val="007DA3" w:themeColor="accent1"/>
          <w:szCs w:val="24"/>
        </w:rPr>
        <w:t>Current MRSA Status</w:t>
      </w:r>
      <w:r w:rsidRPr="005207F2">
        <w:rPr>
          <w:rFonts w:ascii="Calibri" w:hAnsi="Calibri" w:cs="Calibri"/>
          <w:szCs w:val="24"/>
        </w:rPr>
        <w:t xml:space="preserve">. </w:t>
      </w:r>
    </w:p>
    <w:p w14:paraId="1A1B24CF" w14:textId="26BBBD19" w:rsidR="00E81B4B" w:rsidRPr="005207F2" w:rsidRDefault="00E81B4B" w:rsidP="008F241B">
      <w:pPr>
        <w:pStyle w:val="ListParagraph"/>
        <w:ind w:left="360"/>
        <w:contextualSpacing w:val="0"/>
        <w:rPr>
          <w:rFonts w:ascii="Calibri" w:hAnsi="Calibri" w:cs="Calibri"/>
          <w:szCs w:val="24"/>
        </w:rPr>
      </w:pPr>
      <w:r w:rsidRPr="005207F2">
        <w:rPr>
          <w:rFonts w:ascii="Calibri" w:hAnsi="Calibri" w:cs="Calibri"/>
          <w:szCs w:val="24"/>
        </w:rPr>
        <w:t xml:space="preserve">Existing guidance and position statements from national committees and societies, survey requirements for accreditation, and state laws related to </w:t>
      </w:r>
      <w:r w:rsidR="00862A26">
        <w:rPr>
          <w:rFonts w:ascii="Calibri" w:hAnsi="Calibri" w:cs="Calibri"/>
          <w:szCs w:val="24"/>
        </w:rPr>
        <w:t>healthcare</w:t>
      </w:r>
      <w:r w:rsidRPr="005207F2">
        <w:rPr>
          <w:rFonts w:ascii="Calibri" w:hAnsi="Calibri" w:cs="Calibri"/>
          <w:szCs w:val="24"/>
        </w:rPr>
        <w:t>-associated infections may also be cited in support of decolonization. Some of these are listed below:</w:t>
      </w:r>
    </w:p>
    <w:p w14:paraId="546C930E" w14:textId="4E75CDDC" w:rsidR="00332EA8" w:rsidRPr="005207F2" w:rsidRDefault="00332EA8" w:rsidP="008F241B">
      <w:pPr>
        <w:pStyle w:val="ListParagraph"/>
        <w:numPr>
          <w:ilvl w:val="1"/>
          <w:numId w:val="19"/>
        </w:numPr>
        <w:contextualSpacing w:val="0"/>
        <w:rPr>
          <w:rFonts w:cstheme="minorHAnsi"/>
          <w:szCs w:val="24"/>
        </w:rPr>
      </w:pPr>
      <w:r w:rsidRPr="005207F2">
        <w:rPr>
          <w:rFonts w:cstheme="minorHAnsi"/>
          <w:b/>
          <w:bCs/>
          <w:szCs w:val="24"/>
        </w:rPr>
        <w:lastRenderedPageBreak/>
        <w:t>CDC Healthcare Infection Control Practices Advisory Committee (HICPAC)</w:t>
      </w:r>
      <w:r w:rsidRPr="005207F2">
        <w:rPr>
          <w:rFonts w:cstheme="minorHAnsi"/>
          <w:b/>
          <w:bCs/>
          <w:szCs w:val="24"/>
          <w:vertAlign w:val="superscript"/>
        </w:rPr>
        <w:t>1</w:t>
      </w:r>
      <w:r w:rsidR="00897C6F" w:rsidRPr="005207F2">
        <w:rPr>
          <w:rFonts w:cstheme="minorHAnsi"/>
          <w:b/>
          <w:bCs/>
          <w:szCs w:val="24"/>
          <w:vertAlign w:val="superscript"/>
        </w:rPr>
        <w:t>7</w:t>
      </w:r>
      <w:r w:rsidRPr="005207F2">
        <w:rPr>
          <w:rFonts w:cstheme="minorHAnsi"/>
          <w:b/>
          <w:bCs/>
          <w:szCs w:val="24"/>
        </w:rPr>
        <w:t>:</w:t>
      </w:r>
      <w:r w:rsidRPr="005207F2">
        <w:rPr>
          <w:szCs w:val="24"/>
        </w:rPr>
        <w:t xml:space="preserve"> </w:t>
      </w:r>
      <w:r w:rsidRPr="005207F2">
        <w:rPr>
          <w:szCs w:val="24"/>
        </w:rPr>
        <w:br/>
      </w:r>
      <w:hyperlink r:id="rId15" w:history="1">
        <w:r w:rsidRPr="005207F2">
          <w:rPr>
            <w:rStyle w:val="Hyperlink"/>
            <w:rFonts w:cstheme="minorHAnsi"/>
            <w:szCs w:val="24"/>
          </w:rPr>
          <w:t>https://www.cdc.gov/infectioncontrol/guidelines/index.html</w:t>
        </w:r>
      </w:hyperlink>
    </w:p>
    <w:p w14:paraId="64525DAC" w14:textId="2E160F94" w:rsidR="00332EA8" w:rsidRPr="005207F2" w:rsidRDefault="00332EA8" w:rsidP="008F241B">
      <w:pPr>
        <w:pStyle w:val="ListParagraph"/>
        <w:numPr>
          <w:ilvl w:val="1"/>
          <w:numId w:val="19"/>
        </w:numPr>
        <w:contextualSpacing w:val="0"/>
        <w:rPr>
          <w:rFonts w:cstheme="minorHAnsi"/>
          <w:szCs w:val="24"/>
        </w:rPr>
      </w:pPr>
      <w:r w:rsidRPr="005207F2">
        <w:rPr>
          <w:rFonts w:cstheme="minorHAnsi"/>
          <w:b/>
          <w:bCs/>
          <w:szCs w:val="24"/>
        </w:rPr>
        <w:t>Society for Healthcare Epidemiology of America (SHEA)</w:t>
      </w:r>
      <w:r w:rsidR="0064385B" w:rsidRPr="005207F2">
        <w:rPr>
          <w:rFonts w:cstheme="minorHAnsi"/>
          <w:b/>
          <w:bCs/>
          <w:szCs w:val="24"/>
          <w:vertAlign w:val="superscript"/>
        </w:rPr>
        <w:t>18</w:t>
      </w:r>
      <w:r w:rsidRPr="005207F2">
        <w:rPr>
          <w:rFonts w:cstheme="minorHAnsi"/>
          <w:b/>
          <w:bCs/>
          <w:szCs w:val="24"/>
        </w:rPr>
        <w:t xml:space="preserve">: </w:t>
      </w:r>
      <w:r w:rsidRPr="005207F2">
        <w:rPr>
          <w:rFonts w:cstheme="minorHAnsi"/>
          <w:b/>
          <w:bCs/>
          <w:szCs w:val="24"/>
        </w:rPr>
        <w:br/>
      </w:r>
      <w:hyperlink r:id="rId16" w:history="1">
        <w:r w:rsidRPr="005207F2">
          <w:rPr>
            <w:rStyle w:val="Hyperlink"/>
            <w:rFonts w:cstheme="minorHAnsi"/>
            <w:szCs w:val="24"/>
          </w:rPr>
          <w:t>https://shea-online.org/guidance/</w:t>
        </w:r>
      </w:hyperlink>
      <w:r w:rsidRPr="005207F2">
        <w:rPr>
          <w:rFonts w:cstheme="minorHAnsi"/>
          <w:szCs w:val="24"/>
        </w:rPr>
        <w:t xml:space="preserve"> </w:t>
      </w:r>
    </w:p>
    <w:p w14:paraId="46E06FC4" w14:textId="475944FD" w:rsidR="00332EA8" w:rsidRPr="005207F2" w:rsidRDefault="00332EA8" w:rsidP="008F241B">
      <w:pPr>
        <w:pStyle w:val="ListParagraph"/>
        <w:numPr>
          <w:ilvl w:val="1"/>
          <w:numId w:val="19"/>
        </w:numPr>
        <w:contextualSpacing w:val="0"/>
        <w:rPr>
          <w:rFonts w:cstheme="minorHAnsi"/>
          <w:szCs w:val="24"/>
        </w:rPr>
      </w:pPr>
      <w:r w:rsidRPr="005207F2">
        <w:rPr>
          <w:rFonts w:cstheme="minorHAnsi"/>
          <w:b/>
          <w:bCs/>
          <w:szCs w:val="24"/>
        </w:rPr>
        <w:t>SHEA/IDSA/APIC Compendium of Strategies to Prevent HAIs in Acute Care Hospitals</w:t>
      </w:r>
      <w:r w:rsidR="0064385B" w:rsidRPr="005207F2">
        <w:rPr>
          <w:rFonts w:cstheme="minorHAnsi"/>
          <w:b/>
          <w:bCs/>
          <w:szCs w:val="24"/>
          <w:vertAlign w:val="superscript"/>
        </w:rPr>
        <w:t>19</w:t>
      </w:r>
      <w:r w:rsidRPr="005207F2">
        <w:rPr>
          <w:rFonts w:cstheme="minorHAnsi"/>
          <w:b/>
          <w:bCs/>
          <w:szCs w:val="24"/>
        </w:rPr>
        <w:t>:</w:t>
      </w:r>
      <w:r w:rsidRPr="005207F2">
        <w:rPr>
          <w:rFonts w:cstheme="minorHAnsi"/>
          <w:szCs w:val="24"/>
        </w:rPr>
        <w:t xml:space="preserve"> </w:t>
      </w:r>
      <w:r w:rsidRPr="005207F2">
        <w:rPr>
          <w:rFonts w:cstheme="minorHAnsi"/>
          <w:szCs w:val="24"/>
        </w:rPr>
        <w:br/>
      </w:r>
      <w:hyperlink r:id="rId17" w:history="1">
        <w:r w:rsidRPr="005207F2">
          <w:rPr>
            <w:rStyle w:val="Hyperlink"/>
            <w:rFonts w:cstheme="minorHAnsi"/>
            <w:szCs w:val="24"/>
          </w:rPr>
          <w:t>https://shea-online.org/compendium-of-strategies-to-prevent-healthcare-associated-infections-in-acute-care-hospitals/</w:t>
        </w:r>
      </w:hyperlink>
      <w:r w:rsidRPr="005207F2">
        <w:rPr>
          <w:rFonts w:cstheme="minorHAnsi"/>
          <w:szCs w:val="24"/>
        </w:rPr>
        <w:t xml:space="preserve"> </w:t>
      </w:r>
      <w:hyperlink w:history="1"/>
    </w:p>
    <w:p w14:paraId="2979864F" w14:textId="172FADB7" w:rsidR="00384DA5" w:rsidRPr="005207F2" w:rsidRDefault="00384DA5" w:rsidP="008F241B">
      <w:pPr>
        <w:pStyle w:val="ListParagraph"/>
        <w:ind w:left="360"/>
        <w:contextualSpacing w:val="0"/>
        <w:rPr>
          <w:rFonts w:cstheme="minorHAnsi"/>
          <w:szCs w:val="24"/>
        </w:rPr>
      </w:pPr>
      <w:r w:rsidRPr="005207F2">
        <w:rPr>
          <w:rFonts w:cstheme="minorHAnsi"/>
          <w:szCs w:val="24"/>
        </w:rPr>
        <w:t xml:space="preserve">You can also mention these materials from </w:t>
      </w:r>
      <w:r w:rsidRPr="00134B8C">
        <w:rPr>
          <w:rFonts w:cstheme="minorHAnsi"/>
          <w:szCs w:val="24"/>
        </w:rPr>
        <w:t xml:space="preserve">the </w:t>
      </w:r>
      <w:hyperlink r:id="rId18" w:history="1">
        <w:r w:rsidRPr="00134B8C">
          <w:rPr>
            <w:rStyle w:val="Hyperlink"/>
            <w:rFonts w:cstheme="minorHAnsi"/>
            <w:b/>
            <w:bCs/>
            <w:szCs w:val="24"/>
          </w:rPr>
          <w:t xml:space="preserve">AHRQ Toolkit for </w:t>
        </w:r>
        <w:r w:rsidRPr="00134B8C">
          <w:rPr>
            <w:rStyle w:val="Hyperlink"/>
            <w:rFonts w:cstheme="minorHAnsi"/>
            <w:b/>
            <w:bCs/>
            <w:szCs w:val="24"/>
          </w:rPr>
          <w:t>M</w:t>
        </w:r>
        <w:r w:rsidRPr="00134B8C">
          <w:rPr>
            <w:rStyle w:val="Hyperlink"/>
            <w:rFonts w:cstheme="minorHAnsi"/>
            <w:b/>
            <w:bCs/>
            <w:szCs w:val="24"/>
          </w:rPr>
          <w:t>RSA Preventio</w:t>
        </w:r>
        <w:r w:rsidR="00F65D2B" w:rsidRPr="00134B8C">
          <w:rPr>
            <w:rStyle w:val="Hyperlink"/>
            <w:rFonts w:cstheme="minorHAnsi"/>
            <w:b/>
            <w:bCs/>
            <w:szCs w:val="24"/>
          </w:rPr>
          <w:t>n for ICU and non-ICU</w:t>
        </w:r>
      </w:hyperlink>
      <w:r w:rsidRPr="005207F2">
        <w:rPr>
          <w:rFonts w:cstheme="minorHAnsi"/>
          <w:szCs w:val="24"/>
        </w:rPr>
        <w:t xml:space="preserve">, which includes program development materials and educational and training materials, available for your use. These </w:t>
      </w:r>
      <w:r w:rsidR="003F6AD1">
        <w:rPr>
          <w:rFonts w:cstheme="minorHAnsi"/>
          <w:szCs w:val="24"/>
        </w:rPr>
        <w:t xml:space="preserve">materials </w:t>
      </w:r>
      <w:r w:rsidRPr="005207F2">
        <w:rPr>
          <w:rFonts w:cstheme="minorHAnsi"/>
          <w:szCs w:val="24"/>
        </w:rPr>
        <w:t xml:space="preserve">can be customized to fit your </w:t>
      </w:r>
      <w:r w:rsidR="003F6AD1">
        <w:rPr>
          <w:rFonts w:cstheme="minorHAnsi"/>
          <w:szCs w:val="24"/>
        </w:rPr>
        <w:t>needs</w:t>
      </w:r>
      <w:r w:rsidRPr="005207F2">
        <w:rPr>
          <w:rFonts w:cstheme="minorHAnsi"/>
          <w:szCs w:val="24"/>
        </w:rPr>
        <w:t>.</w:t>
      </w:r>
    </w:p>
    <w:p w14:paraId="348EDBC6" w14:textId="7A28B3E6" w:rsidR="00E81B4B" w:rsidRPr="005207F2" w:rsidRDefault="00E81B4B" w:rsidP="008F241B">
      <w:pPr>
        <w:pStyle w:val="ListParagraph"/>
        <w:numPr>
          <w:ilvl w:val="0"/>
          <w:numId w:val="19"/>
        </w:numPr>
        <w:ind w:left="360"/>
        <w:contextualSpacing w:val="0"/>
        <w:rPr>
          <w:rFonts w:cstheme="minorHAnsi"/>
          <w:szCs w:val="24"/>
        </w:rPr>
      </w:pPr>
      <w:r w:rsidRPr="005207F2">
        <w:rPr>
          <w:rFonts w:ascii="Calibri" w:hAnsi="Calibri" w:cs="Calibri"/>
          <w:b/>
          <w:szCs w:val="24"/>
        </w:rPr>
        <w:t>What is the cost of this intervention?</w:t>
      </w:r>
      <w:r w:rsidRPr="005207F2">
        <w:rPr>
          <w:rFonts w:ascii="Calibri" w:hAnsi="Calibri" w:cs="Calibri"/>
          <w:b/>
          <w:szCs w:val="24"/>
        </w:rPr>
        <w:br/>
      </w:r>
      <w:r w:rsidRPr="005207F2">
        <w:rPr>
          <w:rFonts w:ascii="Calibri" w:hAnsi="Calibri" w:cs="Calibri"/>
          <w:szCs w:val="24"/>
        </w:rPr>
        <w:t xml:space="preserve">In response to this question, you may want to put together a business case to concisely deliver this information. </w:t>
      </w:r>
      <w:r w:rsidR="00FB601D">
        <w:rPr>
          <w:rFonts w:ascii="Calibri" w:hAnsi="Calibri" w:cs="Calibri"/>
          <w:szCs w:val="24"/>
        </w:rPr>
        <w:t>Refer to</w:t>
      </w:r>
      <w:r w:rsidR="00FB601D" w:rsidRPr="005207F2">
        <w:rPr>
          <w:rFonts w:ascii="Calibri" w:hAnsi="Calibri" w:cs="Calibri"/>
          <w:szCs w:val="24"/>
        </w:rPr>
        <w:t xml:space="preserve"> </w:t>
      </w:r>
      <w:r w:rsidR="00B328FB" w:rsidRPr="005207F2">
        <w:rPr>
          <w:rFonts w:ascii="Calibri" w:hAnsi="Calibri" w:cs="Calibri"/>
          <w:szCs w:val="24"/>
          <w:u w:val="single"/>
        </w:rPr>
        <w:t>Prepare a</w:t>
      </w:r>
      <w:r w:rsidRPr="005207F2">
        <w:rPr>
          <w:rFonts w:ascii="Calibri" w:hAnsi="Calibri" w:cs="Calibri"/>
          <w:szCs w:val="24"/>
          <w:u w:val="single"/>
        </w:rPr>
        <w:t xml:space="preserve"> </w:t>
      </w:r>
      <w:r w:rsidR="00B328FB" w:rsidRPr="005207F2">
        <w:rPr>
          <w:rFonts w:ascii="Calibri" w:hAnsi="Calibri" w:cs="Calibri"/>
          <w:szCs w:val="24"/>
          <w:u w:val="single"/>
        </w:rPr>
        <w:t>B</w:t>
      </w:r>
      <w:r w:rsidRPr="005207F2">
        <w:rPr>
          <w:rFonts w:ascii="Calibri" w:hAnsi="Calibri" w:cs="Calibri"/>
          <w:szCs w:val="24"/>
          <w:u w:val="single"/>
        </w:rPr>
        <w:t xml:space="preserve">usiness </w:t>
      </w:r>
      <w:r w:rsidR="00B328FB" w:rsidRPr="005207F2">
        <w:rPr>
          <w:rFonts w:ascii="Calibri" w:hAnsi="Calibri" w:cs="Calibri"/>
          <w:szCs w:val="24"/>
          <w:u w:val="single"/>
        </w:rPr>
        <w:t>C</w:t>
      </w:r>
      <w:r w:rsidRPr="005207F2">
        <w:rPr>
          <w:rFonts w:ascii="Calibri" w:hAnsi="Calibri" w:cs="Calibri"/>
          <w:szCs w:val="24"/>
          <w:u w:val="single"/>
        </w:rPr>
        <w:t>ase</w:t>
      </w:r>
      <w:r w:rsidRPr="005207F2">
        <w:rPr>
          <w:rFonts w:ascii="Calibri" w:hAnsi="Calibri" w:cs="Calibri"/>
          <w:szCs w:val="24"/>
        </w:rPr>
        <w:t xml:space="preserve"> in the previous section</w:t>
      </w:r>
      <w:r w:rsidR="00635FB5">
        <w:rPr>
          <w:rFonts w:ascii="Calibri" w:hAnsi="Calibri" w:cs="Calibri"/>
          <w:szCs w:val="24"/>
        </w:rPr>
        <w:t xml:space="preserve"> on</w:t>
      </w:r>
      <w:r w:rsidRPr="005207F2">
        <w:rPr>
          <w:rFonts w:ascii="Calibri" w:hAnsi="Calibri" w:cs="Calibri"/>
          <w:szCs w:val="24"/>
        </w:rPr>
        <w:t xml:space="preserve"> </w:t>
      </w:r>
      <w:r w:rsidR="00B328FB" w:rsidRPr="005207F2">
        <w:rPr>
          <w:rFonts w:ascii="Calibri" w:hAnsi="Calibri" w:cs="Calibri"/>
          <w:b/>
          <w:bCs/>
          <w:color w:val="007DA3" w:themeColor="accent1"/>
          <w:szCs w:val="24"/>
        </w:rPr>
        <w:t>Garner</w:t>
      </w:r>
      <w:r w:rsidRPr="005207F2">
        <w:rPr>
          <w:rFonts w:ascii="Calibri" w:hAnsi="Calibri" w:cs="Calibri"/>
          <w:b/>
          <w:bCs/>
          <w:color w:val="007DA3" w:themeColor="accent1"/>
          <w:szCs w:val="24"/>
        </w:rPr>
        <w:t xml:space="preserve"> </w:t>
      </w:r>
      <w:r w:rsidR="00B328FB" w:rsidRPr="005207F2">
        <w:rPr>
          <w:rFonts w:ascii="Calibri" w:hAnsi="Calibri" w:cs="Calibri"/>
          <w:b/>
          <w:bCs/>
          <w:color w:val="007DA3" w:themeColor="accent1"/>
          <w:szCs w:val="24"/>
        </w:rPr>
        <w:t>I</w:t>
      </w:r>
      <w:r w:rsidRPr="005207F2">
        <w:rPr>
          <w:rFonts w:ascii="Calibri" w:hAnsi="Calibri" w:cs="Calibri"/>
          <w:b/>
          <w:bCs/>
          <w:color w:val="007DA3" w:themeColor="accent1"/>
          <w:szCs w:val="24"/>
        </w:rPr>
        <w:t xml:space="preserve">nstitutional </w:t>
      </w:r>
      <w:r w:rsidR="00B328FB" w:rsidRPr="005207F2">
        <w:rPr>
          <w:rFonts w:ascii="Calibri" w:hAnsi="Calibri" w:cs="Calibri"/>
          <w:b/>
          <w:bCs/>
          <w:color w:val="007DA3" w:themeColor="accent1"/>
          <w:szCs w:val="24"/>
        </w:rPr>
        <w:t>S</w:t>
      </w:r>
      <w:r w:rsidRPr="005207F2">
        <w:rPr>
          <w:rFonts w:ascii="Calibri" w:hAnsi="Calibri" w:cs="Calibri"/>
          <w:b/>
          <w:bCs/>
          <w:color w:val="007DA3" w:themeColor="accent1"/>
          <w:szCs w:val="24"/>
        </w:rPr>
        <w:t>upport</w:t>
      </w:r>
      <w:r w:rsidRPr="005207F2">
        <w:rPr>
          <w:rFonts w:ascii="Calibri" w:hAnsi="Calibri" w:cs="Calibri"/>
          <w:szCs w:val="24"/>
        </w:rPr>
        <w:t xml:space="preserve">. </w:t>
      </w:r>
    </w:p>
    <w:p w14:paraId="67920867" w14:textId="2146B0EF" w:rsidR="00E81B4B" w:rsidRPr="005207F2" w:rsidRDefault="00E81B4B" w:rsidP="008F241B">
      <w:pPr>
        <w:pStyle w:val="ListParagraph"/>
        <w:numPr>
          <w:ilvl w:val="0"/>
          <w:numId w:val="19"/>
        </w:numPr>
        <w:ind w:left="360"/>
        <w:contextualSpacing w:val="0"/>
        <w:rPr>
          <w:rFonts w:ascii="Calibri" w:hAnsi="Calibri" w:cs="Calibri"/>
          <w:szCs w:val="24"/>
        </w:rPr>
      </w:pPr>
      <w:r w:rsidRPr="005207F2">
        <w:rPr>
          <w:rFonts w:ascii="Calibri" w:hAnsi="Calibri" w:cs="Calibri"/>
          <w:b/>
          <w:szCs w:val="24"/>
        </w:rPr>
        <w:t xml:space="preserve">Who is supportive of this intervention? </w:t>
      </w:r>
      <w:r w:rsidRPr="005207F2">
        <w:rPr>
          <w:rFonts w:ascii="Calibri" w:hAnsi="Calibri" w:cs="Calibri"/>
          <w:szCs w:val="24"/>
        </w:rPr>
        <w:br/>
        <w:t>Be prepared to demonstrate support from key stakeholders</w:t>
      </w:r>
      <w:r w:rsidR="00FB601D">
        <w:rPr>
          <w:rFonts w:ascii="Calibri" w:hAnsi="Calibri" w:cs="Calibri"/>
          <w:szCs w:val="24"/>
        </w:rPr>
        <w:t xml:space="preserve"> within your institution</w:t>
      </w:r>
      <w:r w:rsidRPr="005207F2">
        <w:rPr>
          <w:rFonts w:ascii="Calibri" w:hAnsi="Calibri" w:cs="Calibri"/>
          <w:szCs w:val="24"/>
        </w:rPr>
        <w:t xml:space="preserve">. Consult closely with your team members to discuss which stakeholders you should approach. </w:t>
      </w:r>
      <w:r w:rsidR="00FB601D">
        <w:rPr>
          <w:rFonts w:ascii="Calibri" w:hAnsi="Calibri" w:cs="Calibri"/>
          <w:szCs w:val="24"/>
        </w:rPr>
        <w:t xml:space="preserve">Refer to </w:t>
      </w:r>
      <w:r w:rsidRPr="005207F2">
        <w:rPr>
          <w:rFonts w:ascii="Calibri" w:hAnsi="Calibri" w:cs="Calibri"/>
          <w:szCs w:val="24"/>
        </w:rPr>
        <w:t xml:space="preserve">the </w:t>
      </w:r>
      <w:r w:rsidR="00FB601D">
        <w:rPr>
          <w:rFonts w:ascii="Calibri" w:hAnsi="Calibri" w:cs="Calibri"/>
          <w:szCs w:val="24"/>
        </w:rPr>
        <w:t xml:space="preserve">previous </w:t>
      </w:r>
      <w:r w:rsidRPr="005207F2">
        <w:rPr>
          <w:rFonts w:ascii="Calibri" w:hAnsi="Calibri" w:cs="Calibri"/>
          <w:szCs w:val="24"/>
        </w:rPr>
        <w:t>section</w:t>
      </w:r>
      <w:r w:rsidR="00FB601D">
        <w:rPr>
          <w:rFonts w:ascii="Calibri" w:hAnsi="Calibri" w:cs="Calibri"/>
          <w:szCs w:val="24"/>
        </w:rPr>
        <w:t xml:space="preserve"> on</w:t>
      </w:r>
      <w:r w:rsidRPr="005207F2">
        <w:rPr>
          <w:rFonts w:ascii="Calibri" w:hAnsi="Calibri" w:cs="Calibri"/>
          <w:szCs w:val="24"/>
        </w:rPr>
        <w:t xml:space="preserve"> </w:t>
      </w:r>
      <w:r w:rsidRPr="005207F2">
        <w:rPr>
          <w:rFonts w:ascii="Calibri" w:hAnsi="Calibri" w:cs="Calibri"/>
          <w:b/>
          <w:bCs/>
          <w:color w:val="007DA3" w:themeColor="accent1"/>
          <w:szCs w:val="24"/>
        </w:rPr>
        <w:t xml:space="preserve">Garner </w:t>
      </w:r>
      <w:r w:rsidR="003B2252" w:rsidRPr="005207F2">
        <w:rPr>
          <w:rFonts w:ascii="Calibri" w:hAnsi="Calibri" w:cs="Calibri"/>
          <w:b/>
          <w:bCs/>
          <w:color w:val="007DA3" w:themeColor="accent1"/>
          <w:szCs w:val="24"/>
        </w:rPr>
        <w:t>I</w:t>
      </w:r>
      <w:r w:rsidRPr="005207F2">
        <w:rPr>
          <w:rFonts w:ascii="Calibri" w:hAnsi="Calibri" w:cs="Calibri"/>
          <w:b/>
          <w:bCs/>
          <w:color w:val="007DA3" w:themeColor="accent1"/>
          <w:szCs w:val="24"/>
        </w:rPr>
        <w:t xml:space="preserve">nstitutional </w:t>
      </w:r>
      <w:r w:rsidR="003B2252" w:rsidRPr="005207F2">
        <w:rPr>
          <w:rFonts w:ascii="Calibri" w:hAnsi="Calibri" w:cs="Calibri"/>
          <w:b/>
          <w:bCs/>
          <w:color w:val="007DA3" w:themeColor="accent1"/>
          <w:szCs w:val="24"/>
        </w:rPr>
        <w:t>S</w:t>
      </w:r>
      <w:r w:rsidRPr="005207F2">
        <w:rPr>
          <w:rFonts w:ascii="Calibri" w:hAnsi="Calibri" w:cs="Calibri"/>
          <w:b/>
          <w:bCs/>
          <w:color w:val="007DA3" w:themeColor="accent1"/>
          <w:szCs w:val="24"/>
        </w:rPr>
        <w:t>upport</w:t>
      </w:r>
      <w:r w:rsidRPr="005207F2">
        <w:rPr>
          <w:rFonts w:ascii="Calibri" w:hAnsi="Calibri" w:cs="Calibri"/>
          <w:szCs w:val="24"/>
        </w:rPr>
        <w:t xml:space="preserve">. </w:t>
      </w:r>
    </w:p>
    <w:p w14:paraId="671F7DB4" w14:textId="67686F41" w:rsidR="00BC199C" w:rsidRDefault="00E81B4B" w:rsidP="008F241B">
      <w:pPr>
        <w:pStyle w:val="ListParagraph"/>
        <w:numPr>
          <w:ilvl w:val="0"/>
          <w:numId w:val="19"/>
        </w:numPr>
        <w:ind w:left="360"/>
        <w:contextualSpacing w:val="0"/>
        <w:rPr>
          <w:rFonts w:ascii="Calibri" w:hAnsi="Calibri" w:cs="Calibri"/>
          <w:szCs w:val="24"/>
        </w:rPr>
      </w:pPr>
      <w:r w:rsidRPr="005207F2">
        <w:rPr>
          <w:rFonts w:ascii="Calibri" w:hAnsi="Calibri" w:cs="Calibri"/>
          <w:b/>
          <w:szCs w:val="24"/>
        </w:rPr>
        <w:t xml:space="preserve">Is decolonization just about reducing MRSA? </w:t>
      </w:r>
      <w:r w:rsidRPr="005207F2">
        <w:rPr>
          <w:rFonts w:ascii="Calibri" w:hAnsi="Calibri" w:cs="Calibri"/>
          <w:szCs w:val="24"/>
        </w:rPr>
        <w:br/>
        <w:t>N</w:t>
      </w:r>
      <w:r w:rsidR="005419F2">
        <w:rPr>
          <w:rFonts w:ascii="Calibri" w:hAnsi="Calibri" w:cs="Calibri"/>
          <w:szCs w:val="24"/>
        </w:rPr>
        <w:t xml:space="preserve">o, decolonization is not limited to MRSA reduction. </w:t>
      </w:r>
      <w:r w:rsidR="00F07E23">
        <w:rPr>
          <w:rFonts w:ascii="Calibri" w:hAnsi="Calibri" w:cs="Calibri"/>
          <w:szCs w:val="24"/>
        </w:rPr>
        <w:t>In fact</w:t>
      </w:r>
      <w:r w:rsidR="005F7611">
        <w:rPr>
          <w:rFonts w:ascii="Calibri" w:hAnsi="Calibri" w:cs="Calibri"/>
          <w:szCs w:val="24"/>
        </w:rPr>
        <w:t>, s</w:t>
      </w:r>
      <w:r w:rsidRPr="005207F2">
        <w:rPr>
          <w:rFonts w:ascii="Calibri" w:hAnsi="Calibri" w:cs="Calibri"/>
          <w:szCs w:val="24"/>
        </w:rPr>
        <w:t xml:space="preserve">tudies have </w:t>
      </w:r>
      <w:r w:rsidR="005419F2">
        <w:rPr>
          <w:rFonts w:ascii="Calibri" w:hAnsi="Calibri" w:cs="Calibri"/>
          <w:szCs w:val="24"/>
        </w:rPr>
        <w:t xml:space="preserve">shown </w:t>
      </w:r>
      <w:r w:rsidRPr="005207F2">
        <w:rPr>
          <w:rFonts w:ascii="Calibri" w:hAnsi="Calibri" w:cs="Calibri"/>
          <w:szCs w:val="24"/>
        </w:rPr>
        <w:t>that decolonization with daily chlorhexidine bath</w:t>
      </w:r>
      <w:r w:rsidR="005419F2">
        <w:rPr>
          <w:rFonts w:ascii="Calibri" w:hAnsi="Calibri" w:cs="Calibri"/>
          <w:szCs w:val="24"/>
        </w:rPr>
        <w:t>ing</w:t>
      </w:r>
      <w:r w:rsidRPr="005207F2">
        <w:rPr>
          <w:rFonts w:ascii="Calibri" w:hAnsi="Calibri" w:cs="Calibri"/>
          <w:szCs w:val="24"/>
        </w:rPr>
        <w:t xml:space="preserve"> and nasal mupirocin </w:t>
      </w:r>
      <w:r w:rsidR="005419F2">
        <w:rPr>
          <w:rFonts w:ascii="Calibri" w:hAnsi="Calibri" w:cs="Calibri"/>
          <w:szCs w:val="24"/>
        </w:rPr>
        <w:t>is</w:t>
      </w:r>
      <w:r w:rsidR="005419F2" w:rsidRPr="005207F2">
        <w:rPr>
          <w:rFonts w:ascii="Calibri" w:hAnsi="Calibri" w:cs="Calibri"/>
          <w:szCs w:val="24"/>
        </w:rPr>
        <w:t xml:space="preserve"> </w:t>
      </w:r>
      <w:r w:rsidRPr="005207F2">
        <w:rPr>
          <w:rFonts w:ascii="Calibri" w:hAnsi="Calibri" w:cs="Calibri"/>
          <w:szCs w:val="24"/>
        </w:rPr>
        <w:t xml:space="preserve">effective at reducing bloodstream infections </w:t>
      </w:r>
      <w:r w:rsidR="00FF639F">
        <w:rPr>
          <w:rFonts w:ascii="Calibri" w:hAnsi="Calibri" w:cs="Calibri"/>
          <w:szCs w:val="24"/>
        </w:rPr>
        <w:t xml:space="preserve">caused by a variety of </w:t>
      </w:r>
      <w:r w:rsidRPr="005207F2">
        <w:rPr>
          <w:rFonts w:ascii="Calibri" w:hAnsi="Calibri" w:cs="Calibri"/>
          <w:szCs w:val="24"/>
        </w:rPr>
        <w:t xml:space="preserve">pathogens. </w:t>
      </w:r>
      <w:r w:rsidR="00BC199C">
        <w:rPr>
          <w:rFonts w:ascii="Calibri" w:hAnsi="Calibri" w:cs="Calibri"/>
          <w:szCs w:val="24"/>
        </w:rPr>
        <w:t>For example:</w:t>
      </w:r>
    </w:p>
    <w:p w14:paraId="6ADB510D" w14:textId="1E8CBD1B" w:rsidR="00BC199C" w:rsidRDefault="00FF639F" w:rsidP="00BC199C">
      <w:pPr>
        <w:pStyle w:val="ListParagraph"/>
        <w:numPr>
          <w:ilvl w:val="1"/>
          <w:numId w:val="19"/>
        </w:numPr>
        <w:contextualSpacing w:val="0"/>
        <w:rPr>
          <w:rFonts w:ascii="Calibri" w:hAnsi="Calibri" w:cs="Calibri"/>
          <w:szCs w:val="24"/>
        </w:rPr>
      </w:pPr>
      <w:r>
        <w:rPr>
          <w:rFonts w:ascii="Calibri" w:hAnsi="Calibri" w:cs="Calibri"/>
          <w:szCs w:val="24"/>
        </w:rPr>
        <w:t>T</w:t>
      </w:r>
      <w:r w:rsidR="006843CD">
        <w:rPr>
          <w:rFonts w:ascii="Calibri" w:hAnsi="Calibri" w:cs="Calibri"/>
          <w:szCs w:val="24"/>
        </w:rPr>
        <w:t>he R</w:t>
      </w:r>
      <w:r w:rsidR="00AD1B26">
        <w:rPr>
          <w:rFonts w:ascii="Calibri" w:hAnsi="Calibri" w:cs="Calibri"/>
          <w:szCs w:val="24"/>
        </w:rPr>
        <w:t>EDUCE</w:t>
      </w:r>
      <w:r w:rsidR="00545309">
        <w:rPr>
          <w:rFonts w:ascii="Calibri" w:hAnsi="Calibri" w:cs="Calibri"/>
          <w:szCs w:val="24"/>
        </w:rPr>
        <w:t xml:space="preserve"> MRSA trial</w:t>
      </w:r>
      <w:r>
        <w:rPr>
          <w:rFonts w:ascii="Calibri" w:hAnsi="Calibri" w:cs="Calibri"/>
          <w:szCs w:val="24"/>
        </w:rPr>
        <w:t xml:space="preserve"> demonstrated that </w:t>
      </w:r>
      <w:r w:rsidR="00545309">
        <w:rPr>
          <w:rFonts w:ascii="Calibri" w:hAnsi="Calibri" w:cs="Calibri"/>
          <w:szCs w:val="24"/>
        </w:rPr>
        <w:t>Universal Decolonization</w:t>
      </w:r>
      <w:r w:rsidR="002C3AEA">
        <w:rPr>
          <w:rFonts w:ascii="Calibri" w:hAnsi="Calibri" w:cs="Calibri"/>
          <w:szCs w:val="24"/>
        </w:rPr>
        <w:t xml:space="preserve"> in ICUs reduced all-cause bloodstream infections by 44 percent.</w:t>
      </w:r>
      <w:r w:rsidR="008B0B0A">
        <w:rPr>
          <w:rFonts w:ascii="Calibri" w:hAnsi="Calibri" w:cs="Calibri"/>
          <w:szCs w:val="24"/>
          <w:vertAlign w:val="superscript"/>
        </w:rPr>
        <w:t>7</w:t>
      </w:r>
    </w:p>
    <w:p w14:paraId="716C176F" w14:textId="5F2B8AAE" w:rsidR="002C327E" w:rsidRDefault="00FF639F" w:rsidP="003B6CF9">
      <w:pPr>
        <w:pStyle w:val="ListParagraph"/>
        <w:numPr>
          <w:ilvl w:val="1"/>
          <w:numId w:val="19"/>
        </w:numPr>
        <w:contextualSpacing w:val="0"/>
        <w:rPr>
          <w:rFonts w:ascii="Calibri" w:hAnsi="Calibri" w:cs="Calibri"/>
          <w:szCs w:val="24"/>
        </w:rPr>
      </w:pPr>
      <w:r>
        <w:rPr>
          <w:rFonts w:ascii="Calibri" w:hAnsi="Calibri" w:cs="Calibri"/>
          <w:szCs w:val="24"/>
        </w:rPr>
        <w:t>T</w:t>
      </w:r>
      <w:r w:rsidR="00E81B4B" w:rsidRPr="005207F2">
        <w:rPr>
          <w:rFonts w:ascii="Calibri" w:hAnsi="Calibri" w:cs="Calibri"/>
          <w:szCs w:val="24"/>
        </w:rPr>
        <w:t>he ABATE trial</w:t>
      </w:r>
      <w:r>
        <w:rPr>
          <w:rFonts w:ascii="Calibri" w:hAnsi="Calibri" w:cs="Calibri"/>
          <w:szCs w:val="24"/>
        </w:rPr>
        <w:t xml:space="preserve"> </w:t>
      </w:r>
      <w:r w:rsidR="00AD1B26">
        <w:rPr>
          <w:rFonts w:ascii="Calibri" w:hAnsi="Calibri" w:cs="Calibri"/>
          <w:szCs w:val="24"/>
        </w:rPr>
        <w:t>resulted in</w:t>
      </w:r>
      <w:r w:rsidR="00E81B4B" w:rsidRPr="005207F2">
        <w:rPr>
          <w:rFonts w:ascii="Calibri" w:hAnsi="Calibri" w:cs="Calibri"/>
          <w:szCs w:val="24"/>
        </w:rPr>
        <w:t xml:space="preserve"> a reduction of 31</w:t>
      </w:r>
      <w:r w:rsidR="00F1501C">
        <w:rPr>
          <w:rFonts w:ascii="Calibri" w:hAnsi="Calibri" w:cs="Calibri"/>
          <w:szCs w:val="24"/>
        </w:rPr>
        <w:t xml:space="preserve"> percent</w:t>
      </w:r>
      <w:r w:rsidR="00E81B4B" w:rsidRPr="005207F2">
        <w:rPr>
          <w:rFonts w:ascii="Calibri" w:hAnsi="Calibri" w:cs="Calibri"/>
          <w:szCs w:val="24"/>
        </w:rPr>
        <w:t xml:space="preserve"> in all-cause bacteremia and 68</w:t>
      </w:r>
      <w:r w:rsidR="00F1501C">
        <w:rPr>
          <w:rFonts w:ascii="Calibri" w:hAnsi="Calibri" w:cs="Calibri"/>
          <w:szCs w:val="24"/>
        </w:rPr>
        <w:t xml:space="preserve"> percent</w:t>
      </w:r>
      <w:r w:rsidR="00E81B4B" w:rsidRPr="005207F2">
        <w:rPr>
          <w:rFonts w:ascii="Calibri" w:hAnsi="Calibri" w:cs="Calibri"/>
          <w:szCs w:val="24"/>
        </w:rPr>
        <w:t xml:space="preserve"> in VRE clinical culture among patients with devices</w:t>
      </w:r>
      <w:r>
        <w:rPr>
          <w:rFonts w:ascii="Calibri" w:hAnsi="Calibri" w:cs="Calibri"/>
          <w:szCs w:val="24"/>
        </w:rPr>
        <w:t xml:space="preserve"> in non-ICUs</w:t>
      </w:r>
      <w:r w:rsidR="00E81B4B" w:rsidRPr="005207F2">
        <w:rPr>
          <w:rFonts w:ascii="Calibri" w:hAnsi="Calibri" w:cs="Calibri"/>
          <w:szCs w:val="24"/>
        </w:rPr>
        <w:t>.</w:t>
      </w:r>
      <w:r w:rsidR="008B0B0A">
        <w:rPr>
          <w:rFonts w:ascii="Calibri" w:hAnsi="Calibri" w:cs="Calibri"/>
          <w:szCs w:val="24"/>
          <w:vertAlign w:val="superscript"/>
        </w:rPr>
        <w:t>8</w:t>
      </w:r>
      <w:r w:rsidR="00E81B4B" w:rsidRPr="005207F2">
        <w:rPr>
          <w:rFonts w:ascii="Calibri" w:hAnsi="Calibri" w:cs="Calibri"/>
          <w:szCs w:val="24"/>
        </w:rPr>
        <w:t xml:space="preserve"> </w:t>
      </w:r>
    </w:p>
    <w:p w14:paraId="68595093" w14:textId="5EB3E702" w:rsidR="00E81B4B" w:rsidRPr="002C327E" w:rsidRDefault="00D4446C" w:rsidP="00F4708D">
      <w:pPr>
        <w:ind w:left="360"/>
        <w:rPr>
          <w:rFonts w:ascii="Calibri" w:hAnsi="Calibri" w:cs="Calibri"/>
        </w:rPr>
      </w:pPr>
      <w:r>
        <w:rPr>
          <w:rFonts w:ascii="Calibri" w:hAnsi="Calibri" w:cs="Calibri"/>
        </w:rPr>
        <w:t>C</w:t>
      </w:r>
      <w:r w:rsidR="00E81B4B" w:rsidRPr="002C327E">
        <w:rPr>
          <w:rFonts w:ascii="Calibri" w:hAnsi="Calibri" w:cs="Calibri"/>
        </w:rPr>
        <w:t xml:space="preserve">hlorhexidine is broadly active against most bacteria and some fungi, </w:t>
      </w:r>
      <w:r>
        <w:rPr>
          <w:rFonts w:ascii="Calibri" w:hAnsi="Calibri" w:cs="Calibri"/>
        </w:rPr>
        <w:t>supporting its use in</w:t>
      </w:r>
      <w:r w:rsidRPr="002C327E">
        <w:rPr>
          <w:rFonts w:ascii="Calibri" w:hAnsi="Calibri" w:cs="Calibri"/>
        </w:rPr>
        <w:t xml:space="preserve"> </w:t>
      </w:r>
      <w:r w:rsidR="00E81B4B" w:rsidRPr="002C327E">
        <w:rPr>
          <w:rFonts w:ascii="Calibri" w:hAnsi="Calibri" w:cs="Calibri"/>
        </w:rPr>
        <w:t xml:space="preserve">reducing infections due to all pathogens. For more information on the evidence, refer to the </w:t>
      </w:r>
      <w:r w:rsidR="00862A26">
        <w:rPr>
          <w:rFonts w:ascii="Calibri" w:hAnsi="Calibri" w:cs="Calibri"/>
        </w:rPr>
        <w:t>presentation</w:t>
      </w:r>
      <w:r w:rsidR="00E81B4B" w:rsidRPr="002C327E">
        <w:rPr>
          <w:rFonts w:ascii="Calibri" w:hAnsi="Calibri" w:cs="Calibri"/>
          <w:b/>
          <w:bCs/>
        </w:rPr>
        <w:t xml:space="preserve"> </w:t>
      </w:r>
      <w:r w:rsidR="00E81B4B" w:rsidRPr="00A8307E">
        <w:rPr>
          <w:rFonts w:ascii="Calibri" w:hAnsi="Calibri" w:cs="Calibri"/>
        </w:rPr>
        <w:t>“</w:t>
      </w:r>
      <w:hyperlink r:id="rId19" w:history="1">
        <w:r w:rsidR="00E81B4B" w:rsidRPr="00751978">
          <w:rPr>
            <w:rStyle w:val="Hyperlink"/>
            <w:rFonts w:ascii="Calibri" w:hAnsi="Calibri" w:cs="Calibri"/>
            <w:b/>
            <w:bCs/>
          </w:rPr>
          <w:t>The Evidence Behind Decolonization Strategies for MRSA</w:t>
        </w:r>
      </w:hyperlink>
      <w:r w:rsidR="00E81B4B" w:rsidRPr="00A8307E">
        <w:rPr>
          <w:rFonts w:ascii="Calibri" w:hAnsi="Calibri" w:cs="Calibri"/>
        </w:rPr>
        <w:t>”</w:t>
      </w:r>
      <w:r w:rsidR="00AB2B2B">
        <w:rPr>
          <w:rFonts w:ascii="Calibri" w:hAnsi="Calibri" w:cs="Calibri"/>
        </w:rPr>
        <w:t xml:space="preserve"> on the Decolonization page of the Toolkit website</w:t>
      </w:r>
      <w:r w:rsidR="00E81B4B" w:rsidRPr="00A8307E">
        <w:rPr>
          <w:rFonts w:ascii="Calibri" w:hAnsi="Calibri" w:cs="Calibri"/>
        </w:rPr>
        <w:t>.</w:t>
      </w:r>
    </w:p>
    <w:p w14:paraId="45750C97" w14:textId="4E87C8B4" w:rsidR="00E81B4B" w:rsidRPr="005207F2" w:rsidRDefault="00E81B4B" w:rsidP="008F241B">
      <w:pPr>
        <w:pStyle w:val="ListParagraph"/>
        <w:numPr>
          <w:ilvl w:val="0"/>
          <w:numId w:val="19"/>
        </w:numPr>
        <w:ind w:left="360"/>
        <w:contextualSpacing w:val="0"/>
        <w:rPr>
          <w:rFonts w:ascii="Calibri" w:hAnsi="Calibri" w:cs="Calibri"/>
          <w:szCs w:val="24"/>
        </w:rPr>
      </w:pPr>
      <w:r w:rsidRPr="005207F2">
        <w:rPr>
          <w:rFonts w:ascii="Calibri" w:hAnsi="Calibri" w:cs="Calibri"/>
          <w:b/>
          <w:szCs w:val="24"/>
        </w:rPr>
        <w:t xml:space="preserve">What is the added benefit of nasal decolonization over the daily chlorhexidine baths alone? </w:t>
      </w:r>
      <w:r w:rsidRPr="005207F2">
        <w:rPr>
          <w:rFonts w:ascii="Calibri" w:hAnsi="Calibri" w:cs="Calibri"/>
          <w:b/>
          <w:szCs w:val="24"/>
        </w:rPr>
        <w:br/>
      </w:r>
      <w:r w:rsidRPr="005207F2">
        <w:rPr>
          <w:rFonts w:ascii="Calibri" w:hAnsi="Calibri" w:cs="Calibri"/>
          <w:szCs w:val="24"/>
        </w:rPr>
        <w:t xml:space="preserve">There are several </w:t>
      </w:r>
      <w:r w:rsidR="000524D3">
        <w:rPr>
          <w:rFonts w:ascii="Calibri" w:hAnsi="Calibri" w:cs="Calibri"/>
          <w:szCs w:val="24"/>
        </w:rPr>
        <w:t xml:space="preserve">benefits </w:t>
      </w:r>
      <w:r w:rsidRPr="005207F2">
        <w:rPr>
          <w:rFonts w:ascii="Calibri" w:hAnsi="Calibri" w:cs="Calibri"/>
          <w:szCs w:val="24"/>
        </w:rPr>
        <w:t xml:space="preserve">to </w:t>
      </w:r>
      <w:r w:rsidR="000524D3">
        <w:rPr>
          <w:rFonts w:ascii="Calibri" w:hAnsi="Calibri" w:cs="Calibri"/>
          <w:szCs w:val="24"/>
        </w:rPr>
        <w:t xml:space="preserve">combining </w:t>
      </w:r>
      <w:r w:rsidRPr="005207F2">
        <w:rPr>
          <w:rFonts w:ascii="Calibri" w:hAnsi="Calibri" w:cs="Calibri"/>
          <w:szCs w:val="24"/>
        </w:rPr>
        <w:t xml:space="preserve">chlorhexidine </w:t>
      </w:r>
      <w:r w:rsidR="00593353">
        <w:rPr>
          <w:rFonts w:ascii="Calibri" w:hAnsi="Calibri" w:cs="Calibri"/>
          <w:szCs w:val="24"/>
        </w:rPr>
        <w:t xml:space="preserve">bathing </w:t>
      </w:r>
      <w:r w:rsidR="000524D3">
        <w:rPr>
          <w:rFonts w:ascii="Calibri" w:hAnsi="Calibri" w:cs="Calibri"/>
          <w:szCs w:val="24"/>
        </w:rPr>
        <w:t xml:space="preserve">and </w:t>
      </w:r>
      <w:r w:rsidRPr="005207F2">
        <w:rPr>
          <w:rFonts w:ascii="Calibri" w:hAnsi="Calibri" w:cs="Calibri"/>
          <w:szCs w:val="24"/>
        </w:rPr>
        <w:t xml:space="preserve">nasal decolonization. </w:t>
      </w:r>
    </w:p>
    <w:p w14:paraId="3670D9FE" w14:textId="2D6D07F8" w:rsidR="00E81B4B" w:rsidRPr="005207F2" w:rsidRDefault="00E81B4B" w:rsidP="008F241B">
      <w:pPr>
        <w:pStyle w:val="ListParagraph"/>
        <w:numPr>
          <w:ilvl w:val="1"/>
          <w:numId w:val="19"/>
        </w:numPr>
        <w:ind w:left="1080"/>
        <w:contextualSpacing w:val="0"/>
        <w:rPr>
          <w:rFonts w:ascii="Calibri" w:hAnsi="Calibri" w:cs="Calibri"/>
          <w:szCs w:val="24"/>
        </w:rPr>
      </w:pPr>
      <w:r w:rsidRPr="005207F2">
        <w:rPr>
          <w:rFonts w:ascii="Calibri" w:hAnsi="Calibri" w:cs="Calibri"/>
          <w:i/>
          <w:szCs w:val="24"/>
        </w:rPr>
        <w:t>Staphylococcus aureus</w:t>
      </w:r>
      <w:r w:rsidRPr="005207F2">
        <w:rPr>
          <w:rFonts w:ascii="Calibri" w:hAnsi="Calibri" w:cs="Calibri"/>
          <w:szCs w:val="24"/>
        </w:rPr>
        <w:t xml:space="preserve"> is the second-most reported cause of healthcare-associated infections in the United States. </w:t>
      </w:r>
      <w:r w:rsidRPr="005207F2">
        <w:rPr>
          <w:rFonts w:cstheme="minorHAnsi"/>
          <w:szCs w:val="24"/>
        </w:rPr>
        <w:t xml:space="preserve">It is the most common cause of ventilator-associated pneumonia, the most common cause of surgical site infections, and the third most common cause of central line-associated bloodstream infections in ICUs. </w:t>
      </w:r>
      <w:r w:rsidRPr="005207F2">
        <w:rPr>
          <w:rFonts w:ascii="Calibri" w:hAnsi="Calibri" w:cs="Calibri"/>
          <w:szCs w:val="24"/>
        </w:rPr>
        <w:t>This includes both methicillin-sensitive (MSSA) and methicillin-resistant (MRSA) strains.</w:t>
      </w:r>
      <w:r w:rsidR="003E066E" w:rsidRPr="005207F2">
        <w:rPr>
          <w:rFonts w:ascii="Calibri" w:hAnsi="Calibri" w:cs="Calibri"/>
          <w:szCs w:val="24"/>
          <w:vertAlign w:val="superscript"/>
        </w:rPr>
        <w:t>20</w:t>
      </w:r>
      <w:r w:rsidRPr="005207F2">
        <w:rPr>
          <w:rFonts w:ascii="Calibri" w:hAnsi="Calibri" w:cs="Calibri"/>
          <w:szCs w:val="24"/>
        </w:rPr>
        <w:t xml:space="preserve"> </w:t>
      </w:r>
    </w:p>
    <w:p w14:paraId="2267B6A6" w14:textId="02AFB0CE" w:rsidR="00E81B4B" w:rsidRPr="005207F2" w:rsidRDefault="00E81B4B" w:rsidP="008F241B">
      <w:pPr>
        <w:pStyle w:val="ListParagraph"/>
        <w:numPr>
          <w:ilvl w:val="1"/>
          <w:numId w:val="19"/>
        </w:numPr>
        <w:ind w:left="1080"/>
        <w:contextualSpacing w:val="0"/>
        <w:rPr>
          <w:rFonts w:ascii="Calibri" w:hAnsi="Calibri" w:cs="Calibri"/>
          <w:szCs w:val="24"/>
        </w:rPr>
      </w:pPr>
      <w:r w:rsidRPr="005207F2">
        <w:rPr>
          <w:rFonts w:ascii="Calibri" w:hAnsi="Calibri" w:cs="Calibri"/>
          <w:szCs w:val="24"/>
        </w:rPr>
        <w:lastRenderedPageBreak/>
        <w:t xml:space="preserve">The nose </w:t>
      </w:r>
      <w:r w:rsidR="002E5D5C">
        <w:rPr>
          <w:rFonts w:ascii="Calibri" w:hAnsi="Calibri" w:cs="Calibri"/>
          <w:szCs w:val="24"/>
        </w:rPr>
        <w:t xml:space="preserve">serves as </w:t>
      </w:r>
      <w:r w:rsidRPr="005207F2">
        <w:rPr>
          <w:rFonts w:ascii="Calibri" w:hAnsi="Calibri" w:cs="Calibri"/>
          <w:szCs w:val="24"/>
        </w:rPr>
        <w:t xml:space="preserve">the major reservoir of </w:t>
      </w:r>
      <w:r w:rsidRPr="005207F2">
        <w:rPr>
          <w:rFonts w:ascii="Calibri" w:hAnsi="Calibri" w:cs="Calibri"/>
          <w:i/>
          <w:szCs w:val="24"/>
        </w:rPr>
        <w:t>S. aureus.</w:t>
      </w:r>
      <w:r w:rsidR="003E066E" w:rsidRPr="005207F2">
        <w:rPr>
          <w:rFonts w:ascii="Calibri" w:hAnsi="Calibri" w:cs="Calibri"/>
          <w:iCs/>
          <w:szCs w:val="24"/>
          <w:vertAlign w:val="superscript"/>
        </w:rPr>
        <w:t>21</w:t>
      </w:r>
      <w:r w:rsidRPr="005207F2">
        <w:rPr>
          <w:rFonts w:ascii="Calibri" w:hAnsi="Calibri" w:cs="Calibri"/>
          <w:iCs/>
          <w:szCs w:val="24"/>
          <w:vertAlign w:val="superscript"/>
        </w:rPr>
        <w:t>,</w:t>
      </w:r>
      <w:r w:rsidR="003E066E" w:rsidRPr="005207F2">
        <w:rPr>
          <w:rFonts w:ascii="Calibri" w:hAnsi="Calibri" w:cs="Calibri"/>
          <w:iCs/>
          <w:szCs w:val="24"/>
          <w:vertAlign w:val="superscript"/>
        </w:rPr>
        <w:t>22</w:t>
      </w:r>
      <w:r w:rsidRPr="005207F2">
        <w:rPr>
          <w:rFonts w:ascii="Calibri" w:hAnsi="Calibri" w:cs="Calibri"/>
          <w:szCs w:val="24"/>
        </w:rPr>
        <w:t xml:space="preserve"> </w:t>
      </w:r>
      <w:r w:rsidR="00C62155">
        <w:rPr>
          <w:rFonts w:ascii="Calibri" w:hAnsi="Calibri" w:cs="Calibri"/>
          <w:szCs w:val="24"/>
        </w:rPr>
        <w:t>B</w:t>
      </w:r>
      <w:r w:rsidR="00C62155" w:rsidRPr="005207F2">
        <w:rPr>
          <w:rFonts w:ascii="Calibri" w:hAnsi="Calibri" w:cs="Calibri"/>
          <w:szCs w:val="24"/>
        </w:rPr>
        <w:t xml:space="preserve">ecause of the nasal reservoir, </w:t>
      </w:r>
      <w:r w:rsidR="00C62155">
        <w:rPr>
          <w:rFonts w:ascii="Calibri" w:hAnsi="Calibri" w:cs="Calibri"/>
          <w:szCs w:val="24"/>
        </w:rPr>
        <w:t>e</w:t>
      </w:r>
      <w:r w:rsidR="00C62155" w:rsidRPr="005207F2">
        <w:rPr>
          <w:rFonts w:ascii="Calibri" w:hAnsi="Calibri" w:cs="Calibri"/>
          <w:szCs w:val="24"/>
        </w:rPr>
        <w:t xml:space="preserve">vidence </w:t>
      </w:r>
      <w:r w:rsidR="00ED01D2">
        <w:rPr>
          <w:rFonts w:ascii="Calibri" w:hAnsi="Calibri" w:cs="Calibri"/>
          <w:szCs w:val="24"/>
        </w:rPr>
        <w:t>shows that</w:t>
      </w:r>
      <w:r w:rsidR="00ED01D2" w:rsidRPr="005207F2">
        <w:rPr>
          <w:rFonts w:ascii="Calibri" w:hAnsi="Calibri" w:cs="Calibri"/>
          <w:szCs w:val="24"/>
        </w:rPr>
        <w:t xml:space="preserve"> </w:t>
      </w:r>
      <w:r w:rsidR="00C62155">
        <w:rPr>
          <w:rFonts w:ascii="Calibri" w:hAnsi="Calibri" w:cs="Calibri"/>
          <w:szCs w:val="24"/>
        </w:rPr>
        <w:t>combining nasal decolonization with CHG bathing</w:t>
      </w:r>
      <w:r w:rsidRPr="005207F2">
        <w:rPr>
          <w:rFonts w:ascii="Calibri" w:hAnsi="Calibri" w:cs="Calibri"/>
          <w:szCs w:val="24"/>
        </w:rPr>
        <w:t xml:space="preserve"> </w:t>
      </w:r>
      <w:r w:rsidR="00ED01D2">
        <w:rPr>
          <w:rFonts w:ascii="Calibri" w:hAnsi="Calibri" w:cs="Calibri"/>
          <w:szCs w:val="24"/>
        </w:rPr>
        <w:t xml:space="preserve">is </w:t>
      </w:r>
      <w:r w:rsidR="00C62155">
        <w:rPr>
          <w:rFonts w:ascii="Calibri" w:hAnsi="Calibri" w:cs="Calibri"/>
          <w:szCs w:val="24"/>
        </w:rPr>
        <w:t>significantly more effective</w:t>
      </w:r>
      <w:r w:rsidR="00ED01D2">
        <w:rPr>
          <w:rFonts w:ascii="Calibri" w:hAnsi="Calibri" w:cs="Calibri"/>
          <w:szCs w:val="24"/>
        </w:rPr>
        <w:t xml:space="preserve"> for eradication of MRSA</w:t>
      </w:r>
      <w:r w:rsidR="00C62155">
        <w:rPr>
          <w:rFonts w:ascii="Calibri" w:hAnsi="Calibri" w:cs="Calibri"/>
          <w:szCs w:val="24"/>
        </w:rPr>
        <w:t xml:space="preserve"> </w:t>
      </w:r>
      <w:r w:rsidRPr="005207F2">
        <w:rPr>
          <w:rFonts w:ascii="Calibri" w:hAnsi="Calibri" w:cs="Calibri"/>
          <w:szCs w:val="24"/>
        </w:rPr>
        <w:t xml:space="preserve">and MSSA than </w:t>
      </w:r>
      <w:r w:rsidR="00C62155">
        <w:rPr>
          <w:rFonts w:ascii="Calibri" w:hAnsi="Calibri" w:cs="Calibri"/>
          <w:szCs w:val="24"/>
        </w:rPr>
        <w:t>use of</w:t>
      </w:r>
      <w:r w:rsidR="00140CA0">
        <w:rPr>
          <w:rFonts w:ascii="Calibri" w:hAnsi="Calibri" w:cs="Calibri"/>
          <w:szCs w:val="24"/>
        </w:rPr>
        <w:t xml:space="preserve"> </w:t>
      </w:r>
      <w:r w:rsidRPr="005207F2">
        <w:rPr>
          <w:rFonts w:ascii="Calibri" w:hAnsi="Calibri" w:cs="Calibri"/>
          <w:szCs w:val="24"/>
        </w:rPr>
        <w:t>chlorhexidine alone.</w:t>
      </w:r>
      <w:r w:rsidR="003E066E" w:rsidRPr="005207F2">
        <w:rPr>
          <w:rFonts w:ascii="Calibri" w:hAnsi="Calibri" w:cs="Calibri"/>
          <w:szCs w:val="24"/>
          <w:vertAlign w:val="superscript"/>
        </w:rPr>
        <w:t>23</w:t>
      </w:r>
      <w:r w:rsidRPr="005207F2">
        <w:rPr>
          <w:rFonts w:ascii="Calibri" w:hAnsi="Calibri" w:cs="Calibri"/>
          <w:szCs w:val="24"/>
          <w:vertAlign w:val="superscript"/>
        </w:rPr>
        <w:t>-</w:t>
      </w:r>
      <w:r w:rsidR="003E066E" w:rsidRPr="005207F2">
        <w:rPr>
          <w:rFonts w:ascii="Calibri" w:hAnsi="Calibri" w:cs="Calibri"/>
          <w:szCs w:val="24"/>
          <w:vertAlign w:val="superscript"/>
        </w:rPr>
        <w:t>25</w:t>
      </w:r>
    </w:p>
    <w:p w14:paraId="7FD6BBD1" w14:textId="20452BB3" w:rsidR="00E81B4B" w:rsidRPr="005207F2" w:rsidRDefault="00E81B4B" w:rsidP="001D5BFC">
      <w:pPr>
        <w:pStyle w:val="ListParagraph"/>
        <w:numPr>
          <w:ilvl w:val="1"/>
          <w:numId w:val="19"/>
        </w:numPr>
        <w:ind w:left="1080"/>
        <w:contextualSpacing w:val="0"/>
        <w:rPr>
          <w:rFonts w:ascii="Calibri" w:hAnsi="Calibri" w:cs="Calibri"/>
          <w:szCs w:val="24"/>
        </w:rPr>
      </w:pPr>
      <w:r w:rsidRPr="005207F2">
        <w:rPr>
          <w:rFonts w:ascii="Calibri" w:hAnsi="Calibri" w:cs="Calibri"/>
          <w:szCs w:val="24"/>
        </w:rPr>
        <w:t xml:space="preserve">The </w:t>
      </w:r>
      <w:r w:rsidR="004D7392">
        <w:rPr>
          <w:rFonts w:ascii="Calibri" w:hAnsi="Calibri" w:cs="Calibri"/>
          <w:szCs w:val="24"/>
        </w:rPr>
        <w:t>bes</w:t>
      </w:r>
      <w:r w:rsidR="00EA51F2">
        <w:rPr>
          <w:rFonts w:ascii="Calibri" w:hAnsi="Calibri" w:cs="Calibri"/>
          <w:szCs w:val="24"/>
        </w:rPr>
        <w:t>t</w:t>
      </w:r>
      <w:r w:rsidR="004D7392">
        <w:rPr>
          <w:rFonts w:ascii="Calibri" w:hAnsi="Calibri" w:cs="Calibri"/>
          <w:szCs w:val="24"/>
        </w:rPr>
        <w:t xml:space="preserve"> </w:t>
      </w:r>
      <w:r w:rsidRPr="005207F2">
        <w:rPr>
          <w:rFonts w:ascii="Calibri" w:hAnsi="Calibri" w:cs="Calibri"/>
          <w:szCs w:val="24"/>
        </w:rPr>
        <w:t>researched and most</w:t>
      </w:r>
      <w:r w:rsidR="004D7392">
        <w:rPr>
          <w:rFonts w:ascii="Calibri" w:hAnsi="Calibri" w:cs="Calibri"/>
          <w:szCs w:val="24"/>
        </w:rPr>
        <w:t xml:space="preserve"> </w:t>
      </w:r>
      <w:r w:rsidRPr="005207F2">
        <w:rPr>
          <w:rFonts w:ascii="Calibri" w:hAnsi="Calibri" w:cs="Calibri"/>
          <w:szCs w:val="24"/>
        </w:rPr>
        <w:t xml:space="preserve">effective nasal decolonization agent is mupirocin. However, </w:t>
      </w:r>
      <w:r w:rsidR="00EA51F2" w:rsidRPr="005207F2">
        <w:rPr>
          <w:rFonts w:ascii="Calibri" w:hAnsi="Calibri" w:cs="Calibri"/>
          <w:szCs w:val="24"/>
        </w:rPr>
        <w:t>nasal iodophor (povidone-iodine)</w:t>
      </w:r>
      <w:r w:rsidR="00EA51F2">
        <w:rPr>
          <w:rFonts w:ascii="Calibri" w:hAnsi="Calibri" w:cs="Calibri"/>
          <w:szCs w:val="24"/>
        </w:rPr>
        <w:t xml:space="preserve"> is </w:t>
      </w:r>
      <w:r w:rsidRPr="005207F2">
        <w:rPr>
          <w:rFonts w:ascii="Calibri" w:hAnsi="Calibri" w:cs="Calibri"/>
          <w:szCs w:val="24"/>
        </w:rPr>
        <w:t>a viable alternative</w:t>
      </w:r>
      <w:r w:rsidR="00EA51F2">
        <w:rPr>
          <w:rFonts w:ascii="Calibri" w:hAnsi="Calibri" w:cs="Calibri"/>
          <w:szCs w:val="24"/>
        </w:rPr>
        <w:t xml:space="preserve"> </w:t>
      </w:r>
      <w:r w:rsidRPr="005207F2">
        <w:rPr>
          <w:rFonts w:ascii="Calibri" w:hAnsi="Calibri" w:cs="Calibri"/>
          <w:szCs w:val="24"/>
        </w:rPr>
        <w:t>for nasal decolonization.</w:t>
      </w:r>
      <w:r w:rsidR="003E066E" w:rsidRPr="005207F2">
        <w:rPr>
          <w:rFonts w:ascii="Calibri" w:hAnsi="Calibri" w:cs="Calibri"/>
          <w:szCs w:val="24"/>
          <w:vertAlign w:val="superscript"/>
        </w:rPr>
        <w:t>26</w:t>
      </w:r>
      <w:r w:rsidRPr="005207F2">
        <w:rPr>
          <w:rFonts w:ascii="Calibri" w:hAnsi="Calibri" w:cs="Calibri"/>
          <w:szCs w:val="24"/>
        </w:rPr>
        <w:t xml:space="preserve"> Compared </w:t>
      </w:r>
      <w:r w:rsidR="00290AD9">
        <w:rPr>
          <w:rFonts w:ascii="Calibri" w:hAnsi="Calibri" w:cs="Calibri"/>
          <w:szCs w:val="24"/>
        </w:rPr>
        <w:t>with</w:t>
      </w:r>
      <w:r w:rsidR="00290AD9" w:rsidRPr="005207F2">
        <w:rPr>
          <w:rFonts w:ascii="Calibri" w:hAnsi="Calibri" w:cs="Calibri"/>
          <w:szCs w:val="24"/>
        </w:rPr>
        <w:t xml:space="preserve"> </w:t>
      </w:r>
      <w:r w:rsidRPr="005207F2">
        <w:rPr>
          <w:rFonts w:ascii="Calibri" w:hAnsi="Calibri" w:cs="Calibri"/>
          <w:szCs w:val="24"/>
        </w:rPr>
        <w:t xml:space="preserve">mupirocin, iodophor is considered less likely to lead to resistance and does not require a prescription. </w:t>
      </w:r>
    </w:p>
    <w:p w14:paraId="4DFC19FC" w14:textId="18AA3C82" w:rsidR="007B0AF9" w:rsidRPr="005207F2" w:rsidRDefault="00E81B4B" w:rsidP="008F241B">
      <w:pPr>
        <w:pStyle w:val="NoSpacing"/>
        <w:numPr>
          <w:ilvl w:val="0"/>
          <w:numId w:val="19"/>
        </w:numPr>
        <w:spacing w:after="160"/>
        <w:ind w:left="360"/>
        <w:contextualSpacing w:val="0"/>
        <w:rPr>
          <w:rFonts w:ascii="Calibri" w:hAnsi="Calibri" w:cs="Calibri"/>
          <w:sz w:val="24"/>
          <w:szCs w:val="24"/>
        </w:rPr>
      </w:pPr>
      <w:r w:rsidRPr="005207F2">
        <w:rPr>
          <w:rFonts w:ascii="Calibri" w:hAnsi="Calibri" w:cs="Calibri"/>
          <w:b/>
          <w:bCs/>
          <w:sz w:val="24"/>
          <w:szCs w:val="24"/>
        </w:rPr>
        <w:t>What if our clinicians prefer to use another nasal decolonization product instead of mupirocin?</w:t>
      </w:r>
      <w:r w:rsidRPr="005207F2">
        <w:rPr>
          <w:rFonts w:ascii="Calibri" w:hAnsi="Calibri" w:cs="Calibri"/>
          <w:b/>
          <w:bCs/>
          <w:sz w:val="24"/>
          <w:szCs w:val="24"/>
        </w:rPr>
        <w:br/>
      </w:r>
      <w:r w:rsidRPr="005207F2">
        <w:rPr>
          <w:rStyle w:val="normaltextrun"/>
          <w:rFonts w:ascii="Calibri" w:hAnsi="Calibri" w:cs="Calibri"/>
          <w:color w:val="auto"/>
          <w:sz w:val="24"/>
          <w:szCs w:val="24"/>
          <w:shd w:val="clear" w:color="auto" w:fill="FFFFFF"/>
        </w:rPr>
        <w:t xml:space="preserve">While mupirocin has </w:t>
      </w:r>
      <w:r w:rsidR="00EC1B0B">
        <w:rPr>
          <w:rStyle w:val="normaltextrun"/>
          <w:rFonts w:ascii="Calibri" w:hAnsi="Calibri" w:cs="Calibri"/>
          <w:color w:val="auto"/>
          <w:sz w:val="24"/>
          <w:szCs w:val="24"/>
          <w:shd w:val="clear" w:color="auto" w:fill="FFFFFF"/>
        </w:rPr>
        <w:t xml:space="preserve">proven </w:t>
      </w:r>
      <w:r w:rsidRPr="005207F2">
        <w:rPr>
          <w:rStyle w:val="normaltextrun"/>
          <w:rFonts w:ascii="Calibri" w:hAnsi="Calibri" w:cs="Calibri"/>
          <w:color w:val="auto"/>
          <w:sz w:val="24"/>
          <w:szCs w:val="24"/>
          <w:shd w:val="clear" w:color="auto" w:fill="FFFFFF"/>
        </w:rPr>
        <w:t>more effective than iodophor,</w:t>
      </w:r>
      <w:r w:rsidR="003E066E" w:rsidRPr="005207F2">
        <w:rPr>
          <w:rStyle w:val="normaltextrun"/>
          <w:rFonts w:ascii="Calibri" w:hAnsi="Calibri" w:cs="Calibri"/>
          <w:color w:val="auto"/>
          <w:sz w:val="24"/>
          <w:szCs w:val="24"/>
          <w:shd w:val="clear" w:color="auto" w:fill="FFFFFF"/>
          <w:vertAlign w:val="superscript"/>
        </w:rPr>
        <w:t>27</w:t>
      </w:r>
      <w:r w:rsidRPr="005207F2">
        <w:rPr>
          <w:rFonts w:ascii="Calibri" w:hAnsi="Calibri" w:cs="Calibri"/>
          <w:color w:val="auto"/>
          <w:sz w:val="24"/>
          <w:szCs w:val="24"/>
        </w:rPr>
        <w:t xml:space="preserve"> </w:t>
      </w:r>
      <w:r w:rsidR="006F5CC5">
        <w:rPr>
          <w:rFonts w:ascii="Calibri" w:hAnsi="Calibri" w:cs="Calibri"/>
          <w:color w:val="auto"/>
          <w:sz w:val="24"/>
          <w:szCs w:val="24"/>
        </w:rPr>
        <w:t xml:space="preserve">some facilities may prefer iodophor </w:t>
      </w:r>
      <w:r w:rsidR="005529AE">
        <w:rPr>
          <w:rFonts w:ascii="Calibri" w:hAnsi="Calibri" w:cs="Calibri"/>
          <w:color w:val="auto"/>
          <w:sz w:val="24"/>
          <w:szCs w:val="24"/>
        </w:rPr>
        <w:t xml:space="preserve">due to concerns of developing </w:t>
      </w:r>
      <w:r w:rsidR="005529AE" w:rsidRPr="005207F2">
        <w:rPr>
          <w:rFonts w:ascii="Calibri" w:hAnsi="Calibri" w:cs="Calibri"/>
          <w:color w:val="auto"/>
          <w:sz w:val="24"/>
          <w:szCs w:val="24"/>
        </w:rPr>
        <w:t>mupirocin resistance</w:t>
      </w:r>
      <w:r w:rsidR="00C72E25">
        <w:rPr>
          <w:rFonts w:ascii="Calibri" w:hAnsi="Calibri" w:cs="Calibri"/>
          <w:color w:val="auto"/>
          <w:sz w:val="24"/>
          <w:szCs w:val="24"/>
        </w:rPr>
        <w:t xml:space="preserve">, or </w:t>
      </w:r>
      <w:r w:rsidR="006F5CC5">
        <w:rPr>
          <w:rFonts w:ascii="Calibri" w:hAnsi="Calibri" w:cs="Calibri"/>
          <w:color w:val="auto"/>
          <w:sz w:val="24"/>
          <w:szCs w:val="24"/>
        </w:rPr>
        <w:t xml:space="preserve">for </w:t>
      </w:r>
      <w:r w:rsidRPr="005207F2">
        <w:rPr>
          <w:rFonts w:ascii="Calibri" w:hAnsi="Calibri" w:cs="Calibri"/>
          <w:color w:val="auto"/>
          <w:sz w:val="24"/>
          <w:szCs w:val="24"/>
        </w:rPr>
        <w:t xml:space="preserve">logistical </w:t>
      </w:r>
      <w:r w:rsidR="006F5CC5">
        <w:rPr>
          <w:rFonts w:ascii="Calibri" w:hAnsi="Calibri" w:cs="Calibri"/>
          <w:color w:val="auto"/>
          <w:sz w:val="24"/>
          <w:szCs w:val="24"/>
        </w:rPr>
        <w:t xml:space="preserve">reasons, such as avoiding the need for </w:t>
      </w:r>
      <w:r w:rsidRPr="005207F2">
        <w:rPr>
          <w:rStyle w:val="normaltextrun"/>
          <w:rFonts w:ascii="Calibri" w:hAnsi="Calibri" w:cs="Calibri"/>
          <w:color w:val="auto"/>
          <w:sz w:val="24"/>
          <w:szCs w:val="24"/>
          <w:shd w:val="clear" w:color="auto" w:fill="FFFFFF"/>
        </w:rPr>
        <w:t>prescription</w:t>
      </w:r>
      <w:r w:rsidR="00C72E25">
        <w:rPr>
          <w:rStyle w:val="normaltextrun"/>
          <w:rFonts w:ascii="Calibri" w:hAnsi="Calibri" w:cs="Calibri"/>
          <w:color w:val="auto"/>
          <w:sz w:val="24"/>
          <w:szCs w:val="24"/>
          <w:shd w:val="clear" w:color="auto" w:fill="FFFFFF"/>
        </w:rPr>
        <w:t>,</w:t>
      </w:r>
      <w:r w:rsidRPr="005207F2">
        <w:rPr>
          <w:rStyle w:val="normaltextrun"/>
          <w:rFonts w:ascii="Calibri" w:hAnsi="Calibri" w:cs="Calibri"/>
          <w:color w:val="auto"/>
          <w:sz w:val="24"/>
          <w:szCs w:val="24"/>
          <w:shd w:val="clear" w:color="auto" w:fill="FFFFFF"/>
        </w:rPr>
        <w:t xml:space="preserve"> especially in outpatient setting</w:t>
      </w:r>
      <w:r w:rsidR="0009610C">
        <w:rPr>
          <w:rStyle w:val="normaltextrun"/>
          <w:rFonts w:ascii="Calibri" w:hAnsi="Calibri" w:cs="Calibri"/>
          <w:color w:val="auto"/>
          <w:sz w:val="24"/>
          <w:szCs w:val="24"/>
          <w:shd w:val="clear" w:color="auto" w:fill="FFFFFF"/>
        </w:rPr>
        <w:t>s</w:t>
      </w:r>
      <w:r w:rsidRPr="005207F2">
        <w:rPr>
          <w:rStyle w:val="normaltextrun"/>
          <w:rFonts w:ascii="Calibri" w:hAnsi="Calibri" w:cs="Calibri"/>
          <w:color w:val="auto"/>
          <w:sz w:val="24"/>
          <w:szCs w:val="24"/>
          <w:shd w:val="clear" w:color="auto" w:fill="FFFFFF"/>
        </w:rPr>
        <w:t xml:space="preserve"> (e.g., preoperative decolonization) </w:t>
      </w:r>
      <w:r w:rsidR="00B80011">
        <w:rPr>
          <w:rStyle w:val="normaltextrun"/>
          <w:rFonts w:ascii="Calibri" w:hAnsi="Calibri" w:cs="Calibri"/>
          <w:color w:val="auto"/>
          <w:sz w:val="24"/>
          <w:szCs w:val="24"/>
          <w:shd w:val="clear" w:color="auto" w:fill="FFFFFF"/>
        </w:rPr>
        <w:t>where filling a prescription may pose a challenge for patients</w:t>
      </w:r>
      <w:r w:rsidRPr="005207F2">
        <w:rPr>
          <w:rStyle w:val="normaltextrun"/>
          <w:rFonts w:ascii="Calibri" w:hAnsi="Calibri" w:cs="Calibri"/>
          <w:color w:val="auto"/>
          <w:sz w:val="24"/>
          <w:szCs w:val="24"/>
          <w:shd w:val="clear" w:color="auto" w:fill="FFFFFF"/>
        </w:rPr>
        <w:t>.</w:t>
      </w:r>
      <w:r w:rsidRPr="005207F2">
        <w:rPr>
          <w:rFonts w:ascii="Calibri" w:hAnsi="Calibri" w:cs="Calibri"/>
          <w:color w:val="auto"/>
          <w:sz w:val="24"/>
          <w:szCs w:val="24"/>
        </w:rPr>
        <w:t xml:space="preserve"> For this reason, this toolkit </w:t>
      </w:r>
      <w:r w:rsidR="00D531EB">
        <w:rPr>
          <w:rFonts w:ascii="Calibri" w:hAnsi="Calibri" w:cs="Calibri"/>
          <w:color w:val="auto"/>
          <w:sz w:val="24"/>
          <w:szCs w:val="24"/>
        </w:rPr>
        <w:t xml:space="preserve">also </w:t>
      </w:r>
      <w:r w:rsidRPr="005207F2">
        <w:rPr>
          <w:rFonts w:ascii="Calibri" w:hAnsi="Calibri" w:cs="Calibri"/>
          <w:color w:val="auto"/>
          <w:sz w:val="24"/>
          <w:szCs w:val="24"/>
        </w:rPr>
        <w:t xml:space="preserve">provides </w:t>
      </w:r>
      <w:r w:rsidR="00B80011">
        <w:rPr>
          <w:rFonts w:ascii="Calibri" w:hAnsi="Calibri" w:cs="Calibri"/>
          <w:color w:val="auto"/>
          <w:sz w:val="24"/>
          <w:szCs w:val="24"/>
        </w:rPr>
        <w:t xml:space="preserve">guidance </w:t>
      </w:r>
      <w:r w:rsidR="00D531EB">
        <w:rPr>
          <w:rFonts w:ascii="Calibri" w:hAnsi="Calibri" w:cs="Calibri"/>
          <w:color w:val="auto"/>
          <w:sz w:val="24"/>
          <w:szCs w:val="24"/>
        </w:rPr>
        <w:t xml:space="preserve">and material </w:t>
      </w:r>
      <w:r w:rsidR="00B80011">
        <w:rPr>
          <w:rFonts w:ascii="Calibri" w:hAnsi="Calibri" w:cs="Calibri"/>
          <w:color w:val="auto"/>
          <w:sz w:val="24"/>
          <w:szCs w:val="24"/>
        </w:rPr>
        <w:t xml:space="preserve">on </w:t>
      </w:r>
      <w:r w:rsidRPr="005207F2">
        <w:rPr>
          <w:rFonts w:ascii="Calibri" w:hAnsi="Calibri" w:cs="Calibri"/>
          <w:color w:val="auto"/>
          <w:sz w:val="24"/>
          <w:szCs w:val="24"/>
        </w:rPr>
        <w:t>the use of nasal iodophor as an alternative to mupirocin.</w:t>
      </w:r>
      <w:r w:rsidR="003E066E" w:rsidRPr="005207F2">
        <w:rPr>
          <w:rFonts w:ascii="Calibri" w:hAnsi="Calibri" w:cs="Calibri"/>
          <w:color w:val="auto"/>
          <w:sz w:val="24"/>
          <w:szCs w:val="24"/>
          <w:vertAlign w:val="superscript"/>
        </w:rPr>
        <w:t>2</w:t>
      </w:r>
      <w:r w:rsidR="008A0B0C" w:rsidRPr="005207F2">
        <w:rPr>
          <w:rFonts w:ascii="Calibri" w:hAnsi="Calibri" w:cs="Calibri"/>
          <w:color w:val="auto"/>
          <w:sz w:val="24"/>
          <w:szCs w:val="24"/>
          <w:vertAlign w:val="superscript"/>
        </w:rPr>
        <w:t>6</w:t>
      </w:r>
      <w:r w:rsidRPr="005207F2">
        <w:rPr>
          <w:rFonts w:ascii="Calibri" w:hAnsi="Calibri" w:cs="Calibri"/>
          <w:color w:val="auto"/>
          <w:sz w:val="24"/>
          <w:szCs w:val="24"/>
        </w:rPr>
        <w:t xml:space="preserve"> </w:t>
      </w:r>
    </w:p>
    <w:p w14:paraId="61397617" w14:textId="55E00FD5" w:rsidR="005B45B6" w:rsidRDefault="00D531EB" w:rsidP="00E136A7">
      <w:pPr>
        <w:ind w:left="360"/>
        <w:rPr>
          <w:rStyle w:val="normaltextrun"/>
          <w:rFonts w:ascii="Calibri" w:hAnsi="Calibri" w:cs="Calibri"/>
          <w:shd w:val="clear" w:color="auto" w:fill="FFFFFF"/>
        </w:rPr>
      </w:pPr>
      <w:r>
        <w:t>However, in a recent large</w:t>
      </w:r>
      <w:r w:rsidR="007B0AF9">
        <w:t>-</w:t>
      </w:r>
      <w:r>
        <w:t xml:space="preserve">scale study, </w:t>
      </w:r>
      <w:r w:rsidR="00E81B4B" w:rsidRPr="005207F2">
        <w:t xml:space="preserve">the </w:t>
      </w:r>
      <w:r>
        <w:t>“</w:t>
      </w:r>
      <w:r w:rsidR="00E81B4B" w:rsidRPr="005207F2">
        <w:t>Mupirocin-Iodophor Swap Out Trial,</w:t>
      </w:r>
      <w:r>
        <w:t>”</w:t>
      </w:r>
      <w:r w:rsidR="00E136A7">
        <w:t xml:space="preserve"> the </w:t>
      </w:r>
      <w:r w:rsidR="00EC1B0B" w:rsidRPr="007B0AF9">
        <w:rPr>
          <w:rStyle w:val="normaltextrun"/>
          <w:rFonts w:ascii="Calibri" w:hAnsi="Calibri" w:cs="Calibri"/>
          <w:bdr w:val="none" w:sz="0" w:space="0" w:color="auto" w:frame="1"/>
        </w:rPr>
        <w:t>authors fou</w:t>
      </w:r>
      <w:r w:rsidR="00E136A7">
        <w:rPr>
          <w:rStyle w:val="normaltextrun"/>
          <w:rFonts w:ascii="Calibri" w:hAnsi="Calibri" w:cs="Calibri"/>
          <w:bdr w:val="none" w:sz="0" w:space="0" w:color="auto" w:frame="1"/>
        </w:rPr>
        <w:t>nd that</w:t>
      </w:r>
      <w:r w:rsidR="00EC1B0B" w:rsidRPr="007B0AF9">
        <w:rPr>
          <w:rStyle w:val="normaltextrun"/>
          <w:rFonts w:ascii="Calibri" w:hAnsi="Calibri" w:cs="Calibri"/>
          <w:bdr w:val="none" w:sz="0" w:space="0" w:color="auto" w:frame="1"/>
        </w:rPr>
        <w:t xml:space="preserve"> </w:t>
      </w:r>
      <w:r w:rsidR="00E136A7">
        <w:rPr>
          <w:rStyle w:val="normaltextrun"/>
          <w:rFonts w:ascii="Calibri" w:hAnsi="Calibri" w:cs="Calibri"/>
          <w:bdr w:val="none" w:sz="0" w:space="0" w:color="auto" w:frame="1"/>
        </w:rPr>
        <w:t xml:space="preserve">a </w:t>
      </w:r>
      <w:r w:rsidR="00EC1B0B" w:rsidRPr="007B0AF9">
        <w:rPr>
          <w:rStyle w:val="normaltextrun"/>
          <w:rFonts w:ascii="Calibri" w:hAnsi="Calibri" w:cs="Calibri"/>
          <w:bdr w:val="none" w:sz="0" w:space="0" w:color="auto" w:frame="1"/>
        </w:rPr>
        <w:t>universal</w:t>
      </w:r>
      <w:r w:rsidR="00450699">
        <w:rPr>
          <w:rStyle w:val="normaltextrun"/>
          <w:rFonts w:ascii="Calibri" w:hAnsi="Calibri" w:cs="Calibri"/>
          <w:bdr w:val="none" w:sz="0" w:space="0" w:color="auto" w:frame="1"/>
        </w:rPr>
        <w:t xml:space="preserve"> </w:t>
      </w:r>
      <w:r w:rsidR="0005365F">
        <w:rPr>
          <w:rStyle w:val="normaltextrun"/>
          <w:rFonts w:ascii="Calibri" w:hAnsi="Calibri" w:cs="Calibri"/>
          <w:bdr w:val="none" w:sz="0" w:space="0" w:color="auto" w:frame="1"/>
        </w:rPr>
        <w:t>decolonization</w:t>
      </w:r>
      <w:r w:rsidR="00EC1B0B" w:rsidRPr="007B0AF9">
        <w:rPr>
          <w:rStyle w:val="normaltextrun"/>
          <w:rFonts w:ascii="Calibri" w:hAnsi="Calibri" w:cs="Calibri"/>
          <w:bdr w:val="none" w:sz="0" w:space="0" w:color="auto" w:frame="1"/>
        </w:rPr>
        <w:t xml:space="preserve"> strategy combining mupirocin and CHG</w:t>
      </w:r>
      <w:r w:rsidR="00E136A7">
        <w:rPr>
          <w:rStyle w:val="normaltextrun"/>
          <w:rFonts w:ascii="Calibri" w:hAnsi="Calibri" w:cs="Calibri"/>
          <w:bdr w:val="none" w:sz="0" w:space="0" w:color="auto" w:frame="1"/>
        </w:rPr>
        <w:t xml:space="preserve"> use</w:t>
      </w:r>
      <w:r w:rsidR="00EC1B0B" w:rsidRPr="007B0AF9">
        <w:rPr>
          <w:rStyle w:val="normaltextrun"/>
          <w:rFonts w:ascii="Calibri" w:hAnsi="Calibri" w:cs="Calibri"/>
          <w:bdr w:val="none" w:sz="0" w:space="0" w:color="auto" w:frame="1"/>
        </w:rPr>
        <w:t xml:space="preserve"> was more effective for prevention </w:t>
      </w:r>
      <w:r w:rsidR="00EC1B0B" w:rsidRPr="007B0AF9">
        <w:rPr>
          <w:rStyle w:val="normaltextrun"/>
          <w:rFonts w:ascii="Calibri" w:hAnsi="Calibri" w:cs="Calibri"/>
          <w:shd w:val="clear" w:color="auto" w:fill="FFFFFF"/>
        </w:rPr>
        <w:t xml:space="preserve">of </w:t>
      </w:r>
      <w:r w:rsidR="00EC1B0B" w:rsidRPr="007B0AF9">
        <w:rPr>
          <w:rStyle w:val="normaltextrun"/>
          <w:rFonts w:ascii="Calibri" w:hAnsi="Calibri" w:cs="Calibri"/>
          <w:i/>
          <w:iCs/>
          <w:shd w:val="clear" w:color="auto" w:fill="FFFFFF"/>
        </w:rPr>
        <w:t xml:space="preserve">S. aureus </w:t>
      </w:r>
      <w:r w:rsidR="00EC1B0B" w:rsidRPr="007B0AF9">
        <w:rPr>
          <w:rStyle w:val="normaltextrun"/>
          <w:rFonts w:ascii="Calibri" w:hAnsi="Calibri" w:cs="Calibri"/>
          <w:shd w:val="clear" w:color="auto" w:fill="FFFFFF"/>
        </w:rPr>
        <w:t>and MRSA clinical isolates than a strategy combining iodophor and CHG</w:t>
      </w:r>
      <w:r w:rsidR="00E136A7">
        <w:rPr>
          <w:rStyle w:val="normaltextrun"/>
          <w:rFonts w:ascii="Calibri" w:hAnsi="Calibri" w:cs="Calibri"/>
          <w:shd w:val="clear" w:color="auto" w:fill="FFFFFF"/>
        </w:rPr>
        <w:t xml:space="preserve"> use</w:t>
      </w:r>
      <w:r w:rsidR="00EC1B0B" w:rsidRPr="007B0AF9">
        <w:rPr>
          <w:rStyle w:val="normaltextrun"/>
          <w:rFonts w:ascii="Calibri" w:hAnsi="Calibri" w:cs="Calibri"/>
          <w:shd w:val="clear" w:color="auto" w:fill="FFFFFF"/>
        </w:rPr>
        <w:t>.</w:t>
      </w:r>
      <w:r w:rsidR="00EC1B0B" w:rsidRPr="007B0AF9">
        <w:rPr>
          <w:rStyle w:val="normaltextrun"/>
          <w:rFonts w:ascii="Calibri" w:hAnsi="Calibri" w:cs="Calibri"/>
          <w:shd w:val="clear" w:color="auto" w:fill="FFFFFF"/>
          <w:vertAlign w:val="superscript"/>
        </w:rPr>
        <w:t>27</w:t>
      </w:r>
      <w:r w:rsidR="00EC1B0B" w:rsidRPr="007B0AF9">
        <w:rPr>
          <w:rStyle w:val="normaltextrun"/>
          <w:rFonts w:ascii="Calibri" w:hAnsi="Calibri" w:cs="Calibri"/>
          <w:shd w:val="clear" w:color="auto" w:fill="FFFFFF"/>
        </w:rPr>
        <w:t xml:space="preserve"> </w:t>
      </w:r>
    </w:p>
    <w:p w14:paraId="13033741" w14:textId="7D45474C" w:rsidR="00EC1B0B" w:rsidRPr="005207F2" w:rsidRDefault="005B45B6" w:rsidP="00A8307E">
      <w:pPr>
        <w:ind w:left="360"/>
      </w:pPr>
      <w:r>
        <w:rPr>
          <w:rStyle w:val="normaltextrun"/>
          <w:rFonts w:ascii="Calibri" w:hAnsi="Calibri" w:cs="Calibri"/>
          <w:shd w:val="clear" w:color="auto" w:fill="FFFFFF"/>
        </w:rPr>
        <w:t xml:space="preserve">The trial also </w:t>
      </w:r>
      <w:r w:rsidR="00EC1B0B" w:rsidRPr="007B0AF9">
        <w:rPr>
          <w:rStyle w:val="normaltextrun"/>
          <w:rFonts w:ascii="Calibri" w:hAnsi="Calibri" w:cs="Calibri"/>
          <w:shd w:val="clear" w:color="auto" w:fill="FFFFFF"/>
        </w:rPr>
        <w:t xml:space="preserve">examined a health system that had been using universal mupirocin and CHG in </w:t>
      </w:r>
      <w:r w:rsidR="00351B83" w:rsidRPr="007B0AF9">
        <w:rPr>
          <w:rStyle w:val="normaltextrun"/>
          <w:rFonts w:ascii="Calibri" w:hAnsi="Calibri" w:cs="Calibri"/>
          <w:shd w:val="clear" w:color="auto" w:fill="FFFFFF"/>
        </w:rPr>
        <w:t>ICUs and</w:t>
      </w:r>
      <w:r w:rsidR="00EC1B0B" w:rsidRPr="007B0AF9">
        <w:rPr>
          <w:rStyle w:val="normaltextrun"/>
          <w:rFonts w:ascii="Calibri" w:hAnsi="Calibri" w:cs="Calibri"/>
          <w:shd w:val="clear" w:color="auto" w:fill="FFFFFF"/>
        </w:rPr>
        <w:t xml:space="preserve"> found that the </w:t>
      </w:r>
      <w:r w:rsidR="00EA54DA">
        <w:rPr>
          <w:rStyle w:val="normaltextrun"/>
          <w:rFonts w:ascii="Calibri" w:hAnsi="Calibri" w:cs="Calibri"/>
          <w:shd w:val="clear" w:color="auto" w:fill="FFFFFF"/>
        </w:rPr>
        <w:t xml:space="preserve">associated </w:t>
      </w:r>
      <w:r w:rsidR="00EC1B0B" w:rsidRPr="007B0AF9">
        <w:rPr>
          <w:rStyle w:val="normaltextrun"/>
          <w:rFonts w:ascii="Calibri" w:hAnsi="Calibri" w:cs="Calibri"/>
          <w:shd w:val="clear" w:color="auto" w:fill="FFFFFF"/>
        </w:rPr>
        <w:t>clinical benefit had not diminished across 7 years of continuous use</w:t>
      </w:r>
      <w:r w:rsidR="00351B83">
        <w:rPr>
          <w:rStyle w:val="normaltextrun"/>
          <w:rFonts w:ascii="Calibri" w:hAnsi="Calibri" w:cs="Calibri"/>
          <w:shd w:val="clear" w:color="auto" w:fill="FFFFFF"/>
        </w:rPr>
        <w:t>. This</w:t>
      </w:r>
      <w:r w:rsidR="00EC1B0B" w:rsidRPr="007B0AF9">
        <w:rPr>
          <w:rStyle w:val="normaltextrun"/>
          <w:rFonts w:ascii="Calibri" w:hAnsi="Calibri" w:cs="Calibri"/>
          <w:shd w:val="clear" w:color="auto" w:fill="FFFFFF"/>
        </w:rPr>
        <w:t xml:space="preserve"> suggested no clinically significant resistance to mupirocin had emerged across this period.</w:t>
      </w:r>
    </w:p>
    <w:p w14:paraId="320CEFC1" w14:textId="48C35D42" w:rsidR="00E81B4B" w:rsidRPr="005207F2" w:rsidRDefault="00E81B4B" w:rsidP="00EA3820">
      <w:pPr>
        <w:pStyle w:val="NoSpacing"/>
        <w:spacing w:after="160"/>
        <w:ind w:left="360" w:firstLine="0"/>
        <w:contextualSpacing w:val="0"/>
        <w:rPr>
          <w:rFonts w:ascii="Calibri" w:hAnsi="Calibri" w:cs="Calibri"/>
          <w:sz w:val="24"/>
          <w:szCs w:val="24"/>
        </w:rPr>
      </w:pPr>
      <w:r w:rsidRPr="005207F2">
        <w:rPr>
          <w:rFonts w:ascii="Calibri" w:hAnsi="Calibri" w:cs="Calibri"/>
          <w:sz w:val="24"/>
          <w:szCs w:val="24"/>
        </w:rPr>
        <w:t xml:space="preserve">For more detailed information on </w:t>
      </w:r>
      <w:r w:rsidR="00EA54DA">
        <w:rPr>
          <w:rFonts w:ascii="Calibri" w:hAnsi="Calibri" w:cs="Calibri"/>
          <w:sz w:val="24"/>
          <w:szCs w:val="24"/>
        </w:rPr>
        <w:t>nasal decolonization</w:t>
      </w:r>
      <w:r w:rsidRPr="005207F2">
        <w:rPr>
          <w:rFonts w:ascii="Calibri" w:hAnsi="Calibri" w:cs="Calibri"/>
          <w:sz w:val="24"/>
          <w:szCs w:val="24"/>
        </w:rPr>
        <w:t>, please refer to</w:t>
      </w:r>
      <w:r w:rsidR="005C705E" w:rsidRPr="005207F2">
        <w:rPr>
          <w:rFonts w:ascii="Calibri" w:hAnsi="Calibri" w:cs="Calibri"/>
          <w:sz w:val="24"/>
          <w:szCs w:val="24"/>
        </w:rPr>
        <w:t xml:space="preserve"> </w:t>
      </w:r>
      <w:r w:rsidRPr="005207F2">
        <w:rPr>
          <w:rFonts w:ascii="Calibri" w:hAnsi="Calibri" w:cs="Calibri"/>
          <w:sz w:val="24"/>
          <w:szCs w:val="24"/>
        </w:rPr>
        <w:t xml:space="preserve">the </w:t>
      </w:r>
      <w:r w:rsidR="00862A26">
        <w:rPr>
          <w:rFonts w:ascii="Calibri" w:hAnsi="Calibri" w:cs="Calibri"/>
          <w:sz w:val="24"/>
          <w:szCs w:val="24"/>
        </w:rPr>
        <w:t>presentation</w:t>
      </w:r>
      <w:r w:rsidRPr="005207F2">
        <w:rPr>
          <w:rFonts w:ascii="Calibri" w:hAnsi="Calibri" w:cs="Calibri"/>
          <w:sz w:val="24"/>
          <w:szCs w:val="24"/>
        </w:rPr>
        <w:t>,</w:t>
      </w:r>
      <w:r w:rsidRPr="005207F2">
        <w:rPr>
          <w:rFonts w:ascii="Calibri" w:hAnsi="Calibri" w:cs="Calibri"/>
          <w:b/>
          <w:bCs/>
          <w:sz w:val="24"/>
          <w:szCs w:val="24"/>
        </w:rPr>
        <w:t xml:space="preserve"> </w:t>
      </w:r>
      <w:r w:rsidRPr="00A8307E">
        <w:rPr>
          <w:rFonts w:ascii="Calibri" w:hAnsi="Calibri" w:cs="Calibri"/>
          <w:sz w:val="24"/>
          <w:szCs w:val="24"/>
        </w:rPr>
        <w:t>“</w:t>
      </w:r>
      <w:hyperlink r:id="rId20" w:history="1">
        <w:r w:rsidRPr="00751978">
          <w:rPr>
            <w:rStyle w:val="Hyperlink"/>
            <w:rFonts w:ascii="Calibri" w:hAnsi="Calibri" w:cs="Calibri"/>
            <w:b/>
            <w:bCs/>
            <w:sz w:val="24"/>
            <w:szCs w:val="24"/>
          </w:rPr>
          <w:t>The Evidence Behind Decolonization Strategies for MRSA</w:t>
        </w:r>
      </w:hyperlink>
      <w:r w:rsidRPr="00A8307E">
        <w:rPr>
          <w:rFonts w:ascii="Calibri" w:hAnsi="Calibri" w:cs="Calibri"/>
          <w:sz w:val="24"/>
          <w:szCs w:val="24"/>
        </w:rPr>
        <w:t>”</w:t>
      </w:r>
      <w:r w:rsidR="00EA54DA">
        <w:rPr>
          <w:rFonts w:ascii="Calibri" w:hAnsi="Calibri" w:cs="Calibri"/>
          <w:sz w:val="24"/>
          <w:szCs w:val="24"/>
        </w:rPr>
        <w:t xml:space="preserve"> </w:t>
      </w:r>
      <w:r w:rsidR="00EA54DA" w:rsidRPr="00EA54DA">
        <w:rPr>
          <w:rFonts w:ascii="Calibri" w:hAnsi="Calibri" w:cs="Calibri"/>
          <w:sz w:val="24"/>
          <w:szCs w:val="24"/>
        </w:rPr>
        <w:t>on the Decolonization page of the Toolkit website.</w:t>
      </w:r>
    </w:p>
    <w:p w14:paraId="3181E6DF" w14:textId="70B190F9" w:rsidR="002D4106" w:rsidRDefault="00E81B4B" w:rsidP="008F241B">
      <w:pPr>
        <w:pStyle w:val="NoSpacing"/>
        <w:numPr>
          <w:ilvl w:val="0"/>
          <w:numId w:val="20"/>
        </w:numPr>
        <w:spacing w:after="160"/>
        <w:ind w:left="360"/>
        <w:contextualSpacing w:val="0"/>
        <w:rPr>
          <w:rFonts w:ascii="Calibri" w:hAnsi="Calibri" w:cs="Calibri"/>
          <w:sz w:val="24"/>
          <w:szCs w:val="24"/>
        </w:rPr>
      </w:pPr>
      <w:r w:rsidRPr="005207F2">
        <w:rPr>
          <w:rFonts w:ascii="Calibri" w:hAnsi="Calibri" w:cs="Calibri"/>
          <w:b/>
          <w:bCs/>
          <w:sz w:val="24"/>
          <w:szCs w:val="24"/>
        </w:rPr>
        <w:t>Are there specific formulations of chlorhexidine and nasal decolonization products that should be used?</w:t>
      </w:r>
      <w:r w:rsidRPr="005207F2">
        <w:rPr>
          <w:rFonts w:ascii="Calibri" w:hAnsi="Calibri" w:cs="Calibri"/>
          <w:b/>
          <w:sz w:val="24"/>
          <w:szCs w:val="24"/>
        </w:rPr>
        <w:t xml:space="preserve"> </w:t>
      </w:r>
      <w:r w:rsidRPr="005207F2">
        <w:rPr>
          <w:rFonts w:ascii="Calibri" w:hAnsi="Calibri" w:cs="Calibri"/>
          <w:b/>
          <w:sz w:val="24"/>
          <w:szCs w:val="24"/>
        </w:rPr>
        <w:br/>
      </w:r>
      <w:r w:rsidRPr="005207F2">
        <w:rPr>
          <w:rFonts w:ascii="Calibri" w:hAnsi="Calibri" w:cs="Calibri"/>
          <w:sz w:val="24"/>
          <w:szCs w:val="24"/>
        </w:rPr>
        <w:t xml:space="preserve">The protocols provided </w:t>
      </w:r>
      <w:r w:rsidR="00995763">
        <w:rPr>
          <w:rFonts w:ascii="Calibri" w:hAnsi="Calibri" w:cs="Calibri"/>
          <w:sz w:val="24"/>
          <w:szCs w:val="24"/>
        </w:rPr>
        <w:t>in this toolkit include</w:t>
      </w:r>
      <w:r w:rsidR="002D4106">
        <w:rPr>
          <w:rFonts w:ascii="Calibri" w:hAnsi="Calibri" w:cs="Calibri"/>
          <w:sz w:val="24"/>
          <w:szCs w:val="24"/>
        </w:rPr>
        <w:t>:</w:t>
      </w:r>
    </w:p>
    <w:p w14:paraId="5AAC3364" w14:textId="14122995" w:rsidR="002D4106" w:rsidRDefault="002D4106" w:rsidP="002D4106">
      <w:pPr>
        <w:pStyle w:val="NoSpacing"/>
        <w:numPr>
          <w:ilvl w:val="1"/>
          <w:numId w:val="20"/>
        </w:numPr>
        <w:spacing w:after="160"/>
        <w:contextualSpacing w:val="0"/>
        <w:rPr>
          <w:rFonts w:ascii="Calibri" w:hAnsi="Calibri" w:cs="Calibri"/>
          <w:sz w:val="24"/>
          <w:szCs w:val="24"/>
        </w:rPr>
      </w:pPr>
      <w:r>
        <w:rPr>
          <w:rFonts w:ascii="Calibri" w:hAnsi="Calibri" w:cs="Calibri"/>
          <w:sz w:val="24"/>
          <w:szCs w:val="24"/>
        </w:rPr>
        <w:t xml:space="preserve">Bed bathing with </w:t>
      </w:r>
      <w:r w:rsidR="00E81B4B" w:rsidRPr="005207F2">
        <w:rPr>
          <w:rFonts w:ascii="Calibri" w:hAnsi="Calibri" w:cs="Calibri"/>
          <w:sz w:val="24"/>
          <w:szCs w:val="24"/>
        </w:rPr>
        <w:t>2</w:t>
      </w:r>
      <w:r w:rsidR="00F1501C">
        <w:rPr>
          <w:rFonts w:ascii="Calibri" w:hAnsi="Calibri" w:cs="Calibri"/>
          <w:sz w:val="24"/>
          <w:szCs w:val="24"/>
        </w:rPr>
        <w:t>-percent</w:t>
      </w:r>
      <w:r w:rsidR="00E81B4B" w:rsidRPr="005207F2">
        <w:rPr>
          <w:rFonts w:ascii="Calibri" w:hAnsi="Calibri" w:cs="Calibri"/>
          <w:sz w:val="24"/>
          <w:szCs w:val="24"/>
        </w:rPr>
        <w:t xml:space="preserve"> CHG</w:t>
      </w:r>
      <w:r>
        <w:rPr>
          <w:rFonts w:ascii="Calibri" w:hAnsi="Calibri" w:cs="Calibri"/>
          <w:sz w:val="24"/>
          <w:szCs w:val="24"/>
        </w:rPr>
        <w:t xml:space="preserve"> pre</w:t>
      </w:r>
      <w:r w:rsidR="00E81B4B" w:rsidRPr="005207F2">
        <w:rPr>
          <w:rFonts w:ascii="Calibri" w:hAnsi="Calibri" w:cs="Calibri"/>
          <w:sz w:val="24"/>
          <w:szCs w:val="24"/>
        </w:rPr>
        <w:t xml:space="preserve">-impregnated cloths </w:t>
      </w:r>
    </w:p>
    <w:p w14:paraId="01CDF44A" w14:textId="765750D0" w:rsidR="002D4106" w:rsidRDefault="002D4106" w:rsidP="002D4106">
      <w:pPr>
        <w:pStyle w:val="NoSpacing"/>
        <w:numPr>
          <w:ilvl w:val="1"/>
          <w:numId w:val="20"/>
        </w:numPr>
        <w:spacing w:after="160"/>
        <w:contextualSpacing w:val="0"/>
        <w:rPr>
          <w:rFonts w:ascii="Calibri" w:hAnsi="Calibri" w:cs="Calibri"/>
          <w:sz w:val="24"/>
          <w:szCs w:val="24"/>
        </w:rPr>
      </w:pPr>
      <w:r>
        <w:rPr>
          <w:rFonts w:ascii="Calibri" w:hAnsi="Calibri" w:cs="Calibri"/>
          <w:sz w:val="24"/>
          <w:szCs w:val="24"/>
        </w:rPr>
        <w:t>Bed bathing with 2</w:t>
      </w:r>
      <w:r w:rsidR="00F1501C">
        <w:rPr>
          <w:rFonts w:ascii="Calibri" w:hAnsi="Calibri" w:cs="Calibri"/>
          <w:sz w:val="24"/>
          <w:szCs w:val="24"/>
        </w:rPr>
        <w:t>-percent</w:t>
      </w:r>
      <w:r>
        <w:rPr>
          <w:rFonts w:ascii="Calibri" w:hAnsi="Calibri" w:cs="Calibri"/>
          <w:sz w:val="24"/>
          <w:szCs w:val="24"/>
        </w:rPr>
        <w:t xml:space="preserve"> CHG </w:t>
      </w:r>
      <w:r w:rsidR="00724728">
        <w:rPr>
          <w:rFonts w:ascii="Calibri" w:hAnsi="Calibri" w:cs="Calibri"/>
          <w:sz w:val="24"/>
          <w:szCs w:val="24"/>
        </w:rPr>
        <w:t xml:space="preserve">liquid </w:t>
      </w:r>
      <w:r>
        <w:rPr>
          <w:rFonts w:ascii="Calibri" w:hAnsi="Calibri" w:cs="Calibri"/>
          <w:sz w:val="24"/>
          <w:szCs w:val="24"/>
        </w:rPr>
        <w:t>solution, diluted from 4</w:t>
      </w:r>
      <w:r w:rsidR="00F1501C">
        <w:rPr>
          <w:rFonts w:ascii="Calibri" w:hAnsi="Calibri" w:cs="Calibri"/>
          <w:sz w:val="24"/>
          <w:szCs w:val="24"/>
        </w:rPr>
        <w:t>-percent</w:t>
      </w:r>
      <w:r>
        <w:rPr>
          <w:rFonts w:ascii="Calibri" w:hAnsi="Calibri" w:cs="Calibri"/>
          <w:sz w:val="24"/>
          <w:szCs w:val="24"/>
        </w:rPr>
        <w:t xml:space="preserve"> CHG liquid in a basin</w:t>
      </w:r>
    </w:p>
    <w:p w14:paraId="395C50C2" w14:textId="196BBA29" w:rsidR="00BD424F" w:rsidRDefault="00BD424F" w:rsidP="002D4106">
      <w:pPr>
        <w:pStyle w:val="NoSpacing"/>
        <w:numPr>
          <w:ilvl w:val="1"/>
          <w:numId w:val="20"/>
        </w:numPr>
        <w:spacing w:after="160"/>
        <w:contextualSpacing w:val="0"/>
        <w:rPr>
          <w:rFonts w:ascii="Calibri" w:hAnsi="Calibri" w:cs="Calibri"/>
          <w:sz w:val="24"/>
          <w:szCs w:val="24"/>
        </w:rPr>
      </w:pPr>
      <w:r>
        <w:rPr>
          <w:rFonts w:ascii="Calibri" w:hAnsi="Calibri" w:cs="Calibri"/>
          <w:sz w:val="24"/>
          <w:szCs w:val="24"/>
        </w:rPr>
        <w:t>Patient self-showering with 4</w:t>
      </w:r>
      <w:r w:rsidR="00F1501C">
        <w:rPr>
          <w:rFonts w:ascii="Calibri" w:hAnsi="Calibri" w:cs="Calibri"/>
          <w:sz w:val="24"/>
          <w:szCs w:val="24"/>
        </w:rPr>
        <w:t>-percent</w:t>
      </w:r>
      <w:r>
        <w:rPr>
          <w:rFonts w:ascii="Calibri" w:hAnsi="Calibri" w:cs="Calibri"/>
          <w:sz w:val="24"/>
          <w:szCs w:val="24"/>
        </w:rPr>
        <w:t xml:space="preserve"> CHG liquid</w:t>
      </w:r>
    </w:p>
    <w:p w14:paraId="68E4150A" w14:textId="6D65D159" w:rsidR="00F97977" w:rsidRDefault="00F97977" w:rsidP="002D4106">
      <w:pPr>
        <w:pStyle w:val="NoSpacing"/>
        <w:numPr>
          <w:ilvl w:val="1"/>
          <w:numId w:val="20"/>
        </w:numPr>
        <w:spacing w:after="160"/>
        <w:contextualSpacing w:val="0"/>
        <w:rPr>
          <w:rFonts w:ascii="Calibri" w:hAnsi="Calibri" w:cs="Calibri"/>
          <w:sz w:val="24"/>
          <w:szCs w:val="24"/>
        </w:rPr>
      </w:pPr>
      <w:r>
        <w:rPr>
          <w:rFonts w:ascii="Calibri" w:hAnsi="Calibri" w:cs="Calibri"/>
          <w:sz w:val="24"/>
          <w:szCs w:val="24"/>
        </w:rPr>
        <w:t xml:space="preserve">Nasal decolonization with </w:t>
      </w:r>
      <w:r w:rsidR="00E81B4B" w:rsidRPr="005207F2">
        <w:rPr>
          <w:rFonts w:ascii="Calibri" w:hAnsi="Calibri" w:cs="Calibri"/>
          <w:sz w:val="24"/>
          <w:szCs w:val="24"/>
        </w:rPr>
        <w:t>2</w:t>
      </w:r>
      <w:r w:rsidR="00F1501C">
        <w:rPr>
          <w:rFonts w:ascii="Calibri" w:hAnsi="Calibri" w:cs="Calibri"/>
          <w:sz w:val="24"/>
          <w:szCs w:val="24"/>
        </w:rPr>
        <w:t>-percent</w:t>
      </w:r>
      <w:r w:rsidR="00E81B4B" w:rsidRPr="005207F2">
        <w:rPr>
          <w:rFonts w:ascii="Calibri" w:hAnsi="Calibri" w:cs="Calibri"/>
          <w:sz w:val="24"/>
          <w:szCs w:val="24"/>
        </w:rPr>
        <w:t xml:space="preserve"> mupirocin ointment</w:t>
      </w:r>
    </w:p>
    <w:p w14:paraId="536DBA62" w14:textId="1A451BAD" w:rsidR="00E81B4B" w:rsidRPr="005207F2" w:rsidRDefault="00F97977" w:rsidP="00A8307E">
      <w:pPr>
        <w:pStyle w:val="NoSpacing"/>
        <w:numPr>
          <w:ilvl w:val="1"/>
          <w:numId w:val="20"/>
        </w:numPr>
        <w:spacing w:after="160"/>
        <w:contextualSpacing w:val="0"/>
        <w:rPr>
          <w:rFonts w:ascii="Calibri" w:hAnsi="Calibri" w:cs="Calibri"/>
          <w:sz w:val="24"/>
          <w:szCs w:val="24"/>
        </w:rPr>
      </w:pPr>
      <w:r>
        <w:rPr>
          <w:rFonts w:ascii="Calibri" w:hAnsi="Calibri" w:cs="Calibri"/>
          <w:sz w:val="24"/>
          <w:szCs w:val="24"/>
        </w:rPr>
        <w:t xml:space="preserve">Nasa decolonization with </w:t>
      </w:r>
      <w:r w:rsidR="00E81B4B" w:rsidRPr="005207F2">
        <w:rPr>
          <w:rFonts w:ascii="Calibri" w:hAnsi="Calibri" w:cs="Calibri"/>
          <w:sz w:val="24"/>
          <w:szCs w:val="24"/>
        </w:rPr>
        <w:t>10</w:t>
      </w:r>
      <w:r w:rsidR="00F1501C">
        <w:rPr>
          <w:rFonts w:ascii="Calibri" w:hAnsi="Calibri" w:cs="Calibri"/>
          <w:sz w:val="24"/>
          <w:szCs w:val="24"/>
        </w:rPr>
        <w:t>-percent</w:t>
      </w:r>
      <w:r>
        <w:rPr>
          <w:rFonts w:ascii="Calibri" w:hAnsi="Calibri" w:cs="Calibri"/>
          <w:sz w:val="24"/>
          <w:szCs w:val="24"/>
        </w:rPr>
        <w:t xml:space="preserve"> iodophor (</w:t>
      </w:r>
      <w:r w:rsidR="00E81B4B" w:rsidRPr="005207F2">
        <w:rPr>
          <w:rFonts w:ascii="Calibri" w:hAnsi="Calibri" w:cs="Calibri"/>
          <w:sz w:val="24"/>
          <w:szCs w:val="24"/>
        </w:rPr>
        <w:t xml:space="preserve">povidone-iodine) </w:t>
      </w:r>
    </w:p>
    <w:p w14:paraId="33943392" w14:textId="38C3E38F" w:rsidR="00E81B4B" w:rsidRPr="005207F2" w:rsidRDefault="00E81B4B" w:rsidP="00EA3820">
      <w:pPr>
        <w:pStyle w:val="NoSpacing"/>
        <w:spacing w:after="160"/>
        <w:ind w:left="360" w:firstLine="0"/>
        <w:contextualSpacing w:val="0"/>
        <w:rPr>
          <w:rFonts w:ascii="Calibri" w:hAnsi="Calibri" w:cs="Calibri"/>
          <w:color w:val="auto"/>
          <w:sz w:val="24"/>
          <w:szCs w:val="24"/>
        </w:rPr>
      </w:pPr>
      <w:r w:rsidRPr="005207F2">
        <w:rPr>
          <w:rFonts w:ascii="Calibri" w:hAnsi="Calibri" w:cs="Calibri"/>
          <w:color w:val="auto"/>
          <w:sz w:val="24"/>
          <w:szCs w:val="24"/>
        </w:rPr>
        <w:t xml:space="preserve">There have been </w:t>
      </w:r>
      <w:r w:rsidR="00EF52B0">
        <w:rPr>
          <w:rFonts w:ascii="Calibri" w:hAnsi="Calibri" w:cs="Calibri"/>
          <w:color w:val="auto"/>
          <w:sz w:val="24"/>
          <w:szCs w:val="24"/>
        </w:rPr>
        <w:t>no</w:t>
      </w:r>
      <w:r w:rsidR="00C30A11">
        <w:rPr>
          <w:rFonts w:ascii="Calibri" w:hAnsi="Calibri" w:cs="Calibri"/>
          <w:color w:val="auto"/>
          <w:sz w:val="24"/>
          <w:szCs w:val="24"/>
        </w:rPr>
        <w:t xml:space="preserve"> notable </w:t>
      </w:r>
      <w:r w:rsidRPr="005207F2">
        <w:rPr>
          <w:rFonts w:ascii="Calibri" w:hAnsi="Calibri" w:cs="Calibri"/>
          <w:color w:val="auto"/>
          <w:sz w:val="24"/>
          <w:szCs w:val="24"/>
        </w:rPr>
        <w:t xml:space="preserve">trials </w:t>
      </w:r>
      <w:r w:rsidR="00F412EA">
        <w:rPr>
          <w:rFonts w:ascii="Calibri" w:hAnsi="Calibri" w:cs="Calibri"/>
          <w:color w:val="auto"/>
          <w:sz w:val="24"/>
          <w:szCs w:val="24"/>
        </w:rPr>
        <w:t xml:space="preserve">directly </w:t>
      </w:r>
      <w:r w:rsidR="00EF52B0">
        <w:rPr>
          <w:rFonts w:ascii="Calibri" w:hAnsi="Calibri" w:cs="Calibri"/>
          <w:color w:val="auto"/>
          <w:sz w:val="24"/>
          <w:szCs w:val="24"/>
        </w:rPr>
        <w:t xml:space="preserve">comparing </w:t>
      </w:r>
      <w:r w:rsidRPr="005207F2">
        <w:rPr>
          <w:rFonts w:ascii="Calibri" w:hAnsi="Calibri" w:cs="Calibri"/>
          <w:color w:val="auto"/>
          <w:sz w:val="24"/>
          <w:szCs w:val="24"/>
        </w:rPr>
        <w:t xml:space="preserve">the effectiveness of </w:t>
      </w:r>
      <w:r w:rsidR="00EF52B0">
        <w:rPr>
          <w:rFonts w:ascii="Calibri" w:hAnsi="Calibri" w:cs="Calibri"/>
          <w:color w:val="auto"/>
          <w:sz w:val="24"/>
          <w:szCs w:val="24"/>
        </w:rPr>
        <w:t xml:space="preserve">different </w:t>
      </w:r>
      <w:r w:rsidRPr="005207F2">
        <w:rPr>
          <w:rFonts w:ascii="Calibri" w:hAnsi="Calibri" w:cs="Calibri"/>
          <w:color w:val="auto"/>
          <w:sz w:val="24"/>
          <w:szCs w:val="24"/>
        </w:rPr>
        <w:t>CHG formulations</w:t>
      </w:r>
      <w:r w:rsidR="00F412EA">
        <w:rPr>
          <w:rFonts w:ascii="Calibri" w:hAnsi="Calibri" w:cs="Calibri"/>
          <w:color w:val="auto"/>
          <w:sz w:val="24"/>
          <w:szCs w:val="24"/>
        </w:rPr>
        <w:t xml:space="preserve"> or other antiseptic bathing products</w:t>
      </w:r>
      <w:r w:rsidRPr="005207F2">
        <w:rPr>
          <w:rFonts w:ascii="Calibri" w:hAnsi="Calibri" w:cs="Calibri"/>
          <w:color w:val="auto"/>
          <w:sz w:val="24"/>
          <w:szCs w:val="24"/>
        </w:rPr>
        <w:t xml:space="preserve">. </w:t>
      </w:r>
    </w:p>
    <w:p w14:paraId="578B2614" w14:textId="0FCC3899" w:rsidR="00E81B4B" w:rsidRPr="00A8307E" w:rsidRDefault="00283C4B" w:rsidP="0047767E">
      <w:pPr>
        <w:pStyle w:val="NoSpacing"/>
        <w:spacing w:after="160"/>
        <w:ind w:left="360" w:firstLine="0"/>
        <w:contextualSpacing w:val="0"/>
        <w:rPr>
          <w:rFonts w:ascii="Calibri" w:hAnsi="Calibri" w:cs="Calibri"/>
          <w:color w:val="auto"/>
          <w:sz w:val="24"/>
          <w:szCs w:val="24"/>
          <w:shd w:val="clear" w:color="auto" w:fill="FFFFFF"/>
        </w:rPr>
      </w:pPr>
      <w:r>
        <w:rPr>
          <w:rStyle w:val="normaltextrun"/>
          <w:rFonts w:ascii="Calibri" w:hAnsi="Calibri" w:cs="Calibri"/>
          <w:color w:val="auto"/>
          <w:sz w:val="24"/>
          <w:szCs w:val="24"/>
          <w:shd w:val="clear" w:color="auto" w:fill="FFFFFF"/>
        </w:rPr>
        <w:t>I</w:t>
      </w:r>
      <w:r w:rsidR="00E81B4B" w:rsidRPr="005207F2">
        <w:rPr>
          <w:rStyle w:val="normaltextrun"/>
          <w:rFonts w:ascii="Calibri" w:hAnsi="Calibri" w:cs="Calibri"/>
          <w:color w:val="auto"/>
          <w:sz w:val="24"/>
          <w:szCs w:val="24"/>
          <w:shd w:val="clear" w:color="auto" w:fill="FFFFFF"/>
        </w:rPr>
        <w:t xml:space="preserve">t is worth noting that </w:t>
      </w:r>
      <w:r w:rsidR="00D867C5">
        <w:rPr>
          <w:rStyle w:val="normaltextrun"/>
          <w:rFonts w:ascii="Calibri" w:hAnsi="Calibri" w:cs="Calibri"/>
          <w:color w:val="auto"/>
          <w:sz w:val="24"/>
          <w:szCs w:val="24"/>
          <w:shd w:val="clear" w:color="auto" w:fill="FFFFFF"/>
        </w:rPr>
        <w:t xml:space="preserve">different </w:t>
      </w:r>
      <w:r w:rsidR="00E81B4B" w:rsidRPr="005207F2">
        <w:rPr>
          <w:rStyle w:val="normaltextrun"/>
          <w:rFonts w:ascii="Calibri" w:hAnsi="Calibri" w:cs="Calibri"/>
          <w:color w:val="auto"/>
          <w:sz w:val="24"/>
          <w:szCs w:val="24"/>
          <w:shd w:val="clear" w:color="auto" w:fill="FFFFFF"/>
        </w:rPr>
        <w:t>method</w:t>
      </w:r>
      <w:r w:rsidR="00D867C5">
        <w:rPr>
          <w:rStyle w:val="normaltextrun"/>
          <w:rFonts w:ascii="Calibri" w:hAnsi="Calibri" w:cs="Calibri"/>
          <w:color w:val="auto"/>
          <w:sz w:val="24"/>
          <w:szCs w:val="24"/>
          <w:shd w:val="clear" w:color="auto" w:fill="FFFFFF"/>
        </w:rPr>
        <w:t>s</w:t>
      </w:r>
      <w:r w:rsidR="00E81B4B" w:rsidRPr="005207F2">
        <w:rPr>
          <w:rStyle w:val="normaltextrun"/>
          <w:rFonts w:ascii="Calibri" w:hAnsi="Calibri" w:cs="Calibri"/>
          <w:color w:val="auto"/>
          <w:sz w:val="24"/>
          <w:szCs w:val="24"/>
          <w:shd w:val="clear" w:color="auto" w:fill="FFFFFF"/>
        </w:rPr>
        <w:t xml:space="preserve"> of application may </w:t>
      </w:r>
      <w:r w:rsidR="00D867C5">
        <w:rPr>
          <w:rStyle w:val="normaltextrun"/>
          <w:rFonts w:ascii="Calibri" w:hAnsi="Calibri" w:cs="Calibri"/>
          <w:color w:val="auto"/>
          <w:sz w:val="24"/>
          <w:szCs w:val="24"/>
          <w:shd w:val="clear" w:color="auto" w:fill="FFFFFF"/>
        </w:rPr>
        <w:t>affect the</w:t>
      </w:r>
      <w:r w:rsidR="00E81B4B" w:rsidRPr="005207F2">
        <w:rPr>
          <w:rStyle w:val="normaltextrun"/>
          <w:rFonts w:ascii="Calibri" w:hAnsi="Calibri" w:cs="Calibri"/>
          <w:color w:val="auto"/>
          <w:sz w:val="24"/>
          <w:szCs w:val="24"/>
          <w:shd w:val="clear" w:color="auto" w:fill="FFFFFF"/>
        </w:rPr>
        <w:t xml:space="preserve"> concentrations of </w:t>
      </w:r>
      <w:r w:rsidR="00D867C5">
        <w:rPr>
          <w:rStyle w:val="normaltextrun"/>
          <w:rFonts w:ascii="Calibri" w:hAnsi="Calibri" w:cs="Calibri"/>
          <w:color w:val="auto"/>
          <w:sz w:val="24"/>
          <w:szCs w:val="24"/>
          <w:shd w:val="clear" w:color="auto" w:fill="FFFFFF"/>
        </w:rPr>
        <w:t>CHG</w:t>
      </w:r>
      <w:r w:rsidR="00D867C5" w:rsidRPr="005207F2">
        <w:rPr>
          <w:rStyle w:val="normaltextrun"/>
          <w:rFonts w:ascii="Calibri" w:hAnsi="Calibri" w:cs="Calibri"/>
          <w:color w:val="auto"/>
          <w:sz w:val="24"/>
          <w:szCs w:val="24"/>
          <w:shd w:val="clear" w:color="auto" w:fill="FFFFFF"/>
        </w:rPr>
        <w:t xml:space="preserve"> </w:t>
      </w:r>
      <w:r w:rsidR="00D867C5">
        <w:rPr>
          <w:rStyle w:val="normaltextrun"/>
          <w:rFonts w:ascii="Calibri" w:hAnsi="Calibri" w:cs="Calibri"/>
          <w:color w:val="auto"/>
          <w:sz w:val="24"/>
          <w:szCs w:val="24"/>
          <w:shd w:val="clear" w:color="auto" w:fill="FFFFFF"/>
        </w:rPr>
        <w:t>applied to</w:t>
      </w:r>
      <w:r w:rsidR="00D867C5" w:rsidRPr="005207F2">
        <w:rPr>
          <w:rStyle w:val="normaltextrun"/>
          <w:rFonts w:ascii="Calibri" w:hAnsi="Calibri" w:cs="Calibri"/>
          <w:color w:val="auto"/>
          <w:sz w:val="24"/>
          <w:szCs w:val="24"/>
          <w:shd w:val="clear" w:color="auto" w:fill="FFFFFF"/>
        </w:rPr>
        <w:t xml:space="preserve"> </w:t>
      </w:r>
      <w:r w:rsidR="00E81B4B" w:rsidRPr="005207F2">
        <w:rPr>
          <w:rStyle w:val="normaltextrun"/>
          <w:rFonts w:ascii="Calibri" w:hAnsi="Calibri" w:cs="Calibri"/>
          <w:color w:val="auto"/>
          <w:sz w:val="24"/>
          <w:szCs w:val="24"/>
          <w:shd w:val="clear" w:color="auto" w:fill="FFFFFF"/>
        </w:rPr>
        <w:t xml:space="preserve">the skin. </w:t>
      </w:r>
      <w:r w:rsidR="0047767E">
        <w:rPr>
          <w:rStyle w:val="normaltextrun"/>
          <w:rFonts w:ascii="Calibri" w:hAnsi="Calibri" w:cs="Calibri"/>
          <w:color w:val="auto"/>
          <w:sz w:val="24"/>
          <w:szCs w:val="24"/>
          <w:shd w:val="clear" w:color="auto" w:fill="FFFFFF"/>
        </w:rPr>
        <w:t xml:space="preserve">The protocols </w:t>
      </w:r>
      <w:r w:rsidR="007057F9">
        <w:rPr>
          <w:rStyle w:val="normaltextrun"/>
          <w:rFonts w:ascii="Calibri" w:hAnsi="Calibri" w:cs="Calibri"/>
          <w:color w:val="auto"/>
          <w:sz w:val="24"/>
          <w:szCs w:val="24"/>
          <w:shd w:val="clear" w:color="auto" w:fill="FFFFFF"/>
        </w:rPr>
        <w:t xml:space="preserve">provided in this toolkit are based on the protocols utilized </w:t>
      </w:r>
      <w:r w:rsidR="00130F42">
        <w:rPr>
          <w:rStyle w:val="normaltextrun"/>
          <w:rFonts w:ascii="Calibri" w:hAnsi="Calibri" w:cs="Calibri"/>
          <w:color w:val="auto"/>
          <w:sz w:val="24"/>
          <w:szCs w:val="24"/>
          <w:shd w:val="clear" w:color="auto" w:fill="FFFFFF"/>
        </w:rPr>
        <w:t>in th</w:t>
      </w:r>
      <w:r w:rsidR="00E81B4B" w:rsidRPr="005207F2">
        <w:rPr>
          <w:rStyle w:val="normaltextrun"/>
          <w:rFonts w:ascii="Calibri" w:hAnsi="Calibri" w:cs="Calibri"/>
          <w:color w:val="auto"/>
          <w:sz w:val="24"/>
          <w:szCs w:val="24"/>
          <w:shd w:val="clear" w:color="auto" w:fill="FFFFFF"/>
        </w:rPr>
        <w:t xml:space="preserve">e </w:t>
      </w:r>
      <w:r w:rsidR="00E51406">
        <w:rPr>
          <w:rStyle w:val="normaltextrun"/>
          <w:rFonts w:ascii="Calibri" w:hAnsi="Calibri" w:cs="Calibri"/>
          <w:color w:val="auto"/>
          <w:sz w:val="24"/>
          <w:szCs w:val="24"/>
          <w:shd w:val="clear" w:color="auto" w:fill="FFFFFF"/>
        </w:rPr>
        <w:t>REDUCE-MRSA</w:t>
      </w:r>
      <w:r w:rsidR="00130F42">
        <w:rPr>
          <w:rStyle w:val="normaltextrun"/>
          <w:rFonts w:ascii="Calibri" w:hAnsi="Calibri" w:cs="Calibri"/>
          <w:color w:val="auto"/>
          <w:sz w:val="24"/>
          <w:szCs w:val="24"/>
          <w:shd w:val="clear" w:color="auto" w:fill="FFFFFF"/>
        </w:rPr>
        <w:t xml:space="preserve"> trial, </w:t>
      </w:r>
      <w:r w:rsidR="009461B6" w:rsidRPr="005207F2">
        <w:rPr>
          <w:rStyle w:val="normaltextrun"/>
          <w:rFonts w:ascii="Calibri" w:hAnsi="Calibri" w:cs="Calibri"/>
          <w:color w:val="auto"/>
          <w:sz w:val="24"/>
          <w:szCs w:val="24"/>
          <w:shd w:val="clear" w:color="auto" w:fill="FFFFFF"/>
        </w:rPr>
        <w:t xml:space="preserve">ABATE </w:t>
      </w:r>
      <w:r w:rsidR="00E81B4B" w:rsidRPr="005207F2">
        <w:rPr>
          <w:rStyle w:val="normaltextrun"/>
          <w:rFonts w:ascii="Calibri" w:hAnsi="Calibri" w:cs="Calibri"/>
          <w:color w:val="auto"/>
          <w:sz w:val="24"/>
          <w:szCs w:val="24"/>
          <w:shd w:val="clear" w:color="auto" w:fill="FFFFFF"/>
        </w:rPr>
        <w:t>trial</w:t>
      </w:r>
      <w:r w:rsidR="00130F42">
        <w:rPr>
          <w:rStyle w:val="normaltextrun"/>
          <w:rFonts w:ascii="Calibri" w:hAnsi="Calibri" w:cs="Calibri"/>
          <w:color w:val="auto"/>
          <w:sz w:val="24"/>
          <w:szCs w:val="24"/>
          <w:shd w:val="clear" w:color="auto" w:fill="FFFFFF"/>
        </w:rPr>
        <w:t>, and t</w:t>
      </w:r>
      <w:r w:rsidR="00E81B4B" w:rsidRPr="005207F2">
        <w:rPr>
          <w:rStyle w:val="normaltextrun"/>
          <w:rFonts w:ascii="Calibri" w:hAnsi="Calibri" w:cs="Calibri"/>
          <w:color w:val="auto"/>
          <w:sz w:val="24"/>
          <w:szCs w:val="24"/>
          <w:shd w:val="clear" w:color="auto" w:fill="FFFFFF"/>
        </w:rPr>
        <w:t xml:space="preserve">he </w:t>
      </w:r>
      <w:r w:rsidR="001641F5" w:rsidRPr="005207F2">
        <w:rPr>
          <w:rStyle w:val="normaltextrun"/>
          <w:rFonts w:ascii="Calibri" w:hAnsi="Calibri" w:cs="Calibri"/>
          <w:color w:val="auto"/>
          <w:sz w:val="24"/>
          <w:szCs w:val="24"/>
          <w:shd w:val="clear" w:color="auto" w:fill="FFFFFF"/>
        </w:rPr>
        <w:t xml:space="preserve">Mupirocin-Iodophor </w:t>
      </w:r>
      <w:r w:rsidR="00E81B4B" w:rsidRPr="005207F2">
        <w:rPr>
          <w:rStyle w:val="normaltextrun"/>
          <w:rFonts w:ascii="Calibri" w:hAnsi="Calibri" w:cs="Calibri"/>
          <w:color w:val="auto"/>
          <w:sz w:val="24"/>
          <w:szCs w:val="24"/>
          <w:shd w:val="clear" w:color="auto" w:fill="FFFFFF"/>
        </w:rPr>
        <w:t>Swap Out Trial</w:t>
      </w:r>
      <w:r w:rsidR="00593353">
        <w:rPr>
          <w:rStyle w:val="normaltextrun"/>
          <w:rFonts w:ascii="Calibri" w:hAnsi="Calibri" w:cs="Calibri"/>
          <w:color w:val="auto"/>
          <w:sz w:val="24"/>
          <w:szCs w:val="24"/>
          <w:shd w:val="clear" w:color="auto" w:fill="FFFFFF"/>
        </w:rPr>
        <w:t>, which</w:t>
      </w:r>
      <w:r w:rsidR="00E81B4B" w:rsidRPr="005207F2">
        <w:rPr>
          <w:rStyle w:val="normaltextrun"/>
          <w:rFonts w:ascii="Calibri" w:hAnsi="Calibri" w:cs="Calibri"/>
          <w:color w:val="auto"/>
          <w:sz w:val="24"/>
          <w:szCs w:val="24"/>
          <w:shd w:val="clear" w:color="auto" w:fill="FFFFFF"/>
        </w:rPr>
        <w:t xml:space="preserve"> compared the use of intranasal 10</w:t>
      </w:r>
      <w:r w:rsidR="005D3E18">
        <w:rPr>
          <w:rStyle w:val="normaltextrun"/>
          <w:rFonts w:ascii="Calibri" w:hAnsi="Calibri" w:cs="Calibri"/>
          <w:color w:val="auto"/>
          <w:sz w:val="24"/>
          <w:szCs w:val="24"/>
          <w:shd w:val="clear" w:color="auto" w:fill="FFFFFF"/>
        </w:rPr>
        <w:t>-percent</w:t>
      </w:r>
      <w:r w:rsidR="00E81B4B" w:rsidRPr="005207F2">
        <w:rPr>
          <w:rStyle w:val="normaltextrun"/>
          <w:rFonts w:ascii="Calibri" w:hAnsi="Calibri" w:cs="Calibri"/>
          <w:color w:val="auto"/>
          <w:sz w:val="24"/>
          <w:szCs w:val="24"/>
          <w:shd w:val="clear" w:color="auto" w:fill="FFFFFF"/>
        </w:rPr>
        <w:t xml:space="preserve"> povidone-iodine swabs plus 2</w:t>
      </w:r>
      <w:r w:rsidR="005D3E18">
        <w:rPr>
          <w:rStyle w:val="normaltextrun"/>
          <w:rFonts w:ascii="Calibri" w:hAnsi="Calibri" w:cs="Calibri"/>
          <w:color w:val="auto"/>
          <w:sz w:val="24"/>
          <w:szCs w:val="24"/>
          <w:shd w:val="clear" w:color="auto" w:fill="FFFFFF"/>
        </w:rPr>
        <w:t>-percent</w:t>
      </w:r>
      <w:r w:rsidR="00E81B4B" w:rsidRPr="005207F2">
        <w:rPr>
          <w:rStyle w:val="normaltextrun"/>
          <w:rFonts w:ascii="Calibri" w:hAnsi="Calibri" w:cs="Calibri"/>
          <w:color w:val="auto"/>
          <w:sz w:val="24"/>
          <w:szCs w:val="24"/>
          <w:shd w:val="clear" w:color="auto" w:fill="FFFFFF"/>
        </w:rPr>
        <w:t xml:space="preserve"> no-rinse CHG cloth baths to intranasal 2</w:t>
      </w:r>
      <w:r w:rsidR="005D3E18">
        <w:rPr>
          <w:rStyle w:val="normaltextrun"/>
          <w:rFonts w:ascii="Calibri" w:hAnsi="Calibri" w:cs="Calibri"/>
          <w:color w:val="auto"/>
          <w:sz w:val="24"/>
          <w:szCs w:val="24"/>
          <w:shd w:val="clear" w:color="auto" w:fill="FFFFFF"/>
        </w:rPr>
        <w:t>-percent</w:t>
      </w:r>
      <w:r w:rsidR="00E81B4B" w:rsidRPr="005207F2">
        <w:rPr>
          <w:rStyle w:val="normaltextrun"/>
          <w:rFonts w:ascii="Calibri" w:hAnsi="Calibri" w:cs="Calibri"/>
          <w:color w:val="auto"/>
          <w:sz w:val="24"/>
          <w:szCs w:val="24"/>
          <w:shd w:val="clear" w:color="auto" w:fill="FFFFFF"/>
        </w:rPr>
        <w:t xml:space="preserve"> mupirocin ointment plus 2</w:t>
      </w:r>
      <w:r w:rsidR="005D3E18">
        <w:rPr>
          <w:rStyle w:val="normaltextrun"/>
          <w:rFonts w:ascii="Calibri" w:hAnsi="Calibri" w:cs="Calibri"/>
          <w:color w:val="auto"/>
          <w:sz w:val="24"/>
          <w:szCs w:val="24"/>
          <w:shd w:val="clear" w:color="auto" w:fill="FFFFFF"/>
        </w:rPr>
        <w:t>-percent</w:t>
      </w:r>
      <w:r w:rsidR="00E81B4B" w:rsidRPr="005207F2">
        <w:rPr>
          <w:rStyle w:val="normaltextrun"/>
          <w:rFonts w:ascii="Calibri" w:hAnsi="Calibri" w:cs="Calibri"/>
          <w:color w:val="auto"/>
          <w:sz w:val="24"/>
          <w:szCs w:val="24"/>
          <w:shd w:val="clear" w:color="auto" w:fill="FFFFFF"/>
        </w:rPr>
        <w:t xml:space="preserve"> no-rinse CHG cloth baths, and found that mupirocin was superior.</w:t>
      </w:r>
      <w:r w:rsidR="002B37AA">
        <w:rPr>
          <w:rStyle w:val="normaltextrun"/>
          <w:rFonts w:ascii="Calibri" w:hAnsi="Calibri" w:cs="Calibri"/>
          <w:color w:val="auto"/>
          <w:sz w:val="24"/>
          <w:szCs w:val="24"/>
          <w:shd w:val="clear" w:color="auto" w:fill="FFFFFF"/>
          <w:vertAlign w:val="superscript"/>
        </w:rPr>
        <w:t>8,</w:t>
      </w:r>
      <w:r w:rsidR="003E066E" w:rsidRPr="005207F2">
        <w:rPr>
          <w:rStyle w:val="normaltextrun"/>
          <w:rFonts w:ascii="Calibri" w:hAnsi="Calibri" w:cs="Calibri"/>
          <w:color w:val="auto"/>
          <w:sz w:val="24"/>
          <w:szCs w:val="24"/>
          <w:shd w:val="clear" w:color="auto" w:fill="FFFFFF"/>
          <w:vertAlign w:val="superscript"/>
        </w:rPr>
        <w:t>27</w:t>
      </w:r>
      <w:r w:rsidR="00E81B4B" w:rsidRPr="005207F2">
        <w:rPr>
          <w:rStyle w:val="normaltextrun"/>
          <w:rFonts w:ascii="Calibri" w:hAnsi="Calibri" w:cs="Calibri"/>
          <w:color w:val="auto"/>
          <w:sz w:val="24"/>
          <w:szCs w:val="24"/>
          <w:shd w:val="clear" w:color="auto" w:fill="FFFFFF"/>
        </w:rPr>
        <w:t xml:space="preserve"> </w:t>
      </w:r>
      <w:r w:rsidR="00E81B4B" w:rsidRPr="005207F2">
        <w:rPr>
          <w:rStyle w:val="normaltextrun"/>
          <w:rFonts w:ascii="Calibri" w:hAnsi="Calibri" w:cs="Calibri"/>
          <w:color w:val="auto"/>
          <w:sz w:val="24"/>
          <w:szCs w:val="24"/>
          <w:shd w:val="clear" w:color="auto" w:fill="FFFFFF"/>
        </w:rPr>
        <w:lastRenderedPageBreak/>
        <w:t xml:space="preserve">Theoretically, methods that deliver a </w:t>
      </w:r>
      <w:r w:rsidR="002B37AA">
        <w:rPr>
          <w:rStyle w:val="normaltextrun"/>
          <w:rFonts w:ascii="Calibri" w:hAnsi="Calibri" w:cs="Calibri"/>
          <w:color w:val="auto"/>
          <w:sz w:val="24"/>
          <w:szCs w:val="24"/>
          <w:shd w:val="clear" w:color="auto" w:fill="FFFFFF"/>
        </w:rPr>
        <w:t>similar</w:t>
      </w:r>
      <w:r w:rsidR="002B37AA" w:rsidRPr="005207F2">
        <w:rPr>
          <w:rStyle w:val="normaltextrun"/>
          <w:rFonts w:ascii="Calibri" w:hAnsi="Calibri" w:cs="Calibri"/>
          <w:color w:val="auto"/>
          <w:sz w:val="24"/>
          <w:szCs w:val="24"/>
          <w:shd w:val="clear" w:color="auto" w:fill="FFFFFF"/>
        </w:rPr>
        <w:t xml:space="preserve"> </w:t>
      </w:r>
      <w:r w:rsidR="00E81B4B" w:rsidRPr="005207F2">
        <w:rPr>
          <w:rStyle w:val="normaltextrun"/>
          <w:rFonts w:ascii="Calibri" w:hAnsi="Calibri" w:cs="Calibri"/>
          <w:color w:val="auto"/>
          <w:sz w:val="24"/>
          <w:szCs w:val="24"/>
          <w:shd w:val="clear" w:color="auto" w:fill="FFFFFF"/>
        </w:rPr>
        <w:t xml:space="preserve">amount of active decolonizing agent to the skin and nose should </w:t>
      </w:r>
      <w:r w:rsidR="002B37AA">
        <w:rPr>
          <w:rStyle w:val="normaltextrun"/>
          <w:rFonts w:ascii="Calibri" w:hAnsi="Calibri" w:cs="Calibri"/>
          <w:color w:val="auto"/>
          <w:sz w:val="24"/>
          <w:szCs w:val="24"/>
          <w:shd w:val="clear" w:color="auto" w:fill="FFFFFF"/>
        </w:rPr>
        <w:t>achieve similar outcomes.</w:t>
      </w:r>
    </w:p>
    <w:p w14:paraId="1DA1EE1A" w14:textId="5247A019" w:rsidR="00E81B4B" w:rsidRPr="005207F2" w:rsidRDefault="00E81B4B" w:rsidP="00EA3820">
      <w:pPr>
        <w:pStyle w:val="ListParagraph"/>
        <w:ind w:left="360"/>
        <w:contextualSpacing w:val="0"/>
        <w:rPr>
          <w:rFonts w:ascii="Calibri" w:hAnsi="Calibri" w:cs="Calibri"/>
          <w:szCs w:val="24"/>
        </w:rPr>
      </w:pPr>
      <w:r w:rsidRPr="005207F2">
        <w:rPr>
          <w:rFonts w:ascii="Calibri" w:hAnsi="Calibri" w:cs="Calibri"/>
          <w:szCs w:val="24"/>
        </w:rPr>
        <w:t xml:space="preserve">If using iodophor, the protocol provided </w:t>
      </w:r>
      <w:r w:rsidR="002B37AA">
        <w:rPr>
          <w:rFonts w:ascii="Calibri" w:hAnsi="Calibri" w:cs="Calibri"/>
          <w:szCs w:val="24"/>
        </w:rPr>
        <w:t xml:space="preserve">is based on </w:t>
      </w:r>
      <w:r w:rsidRPr="005207F2">
        <w:rPr>
          <w:rFonts w:ascii="Calibri" w:hAnsi="Calibri" w:cs="Calibri"/>
          <w:szCs w:val="24"/>
        </w:rPr>
        <w:t>a single 10</w:t>
      </w:r>
      <w:r w:rsidR="005D3E18">
        <w:rPr>
          <w:rFonts w:ascii="Calibri" w:hAnsi="Calibri" w:cs="Calibri"/>
          <w:szCs w:val="24"/>
        </w:rPr>
        <w:t>-percent</w:t>
      </w:r>
      <w:r w:rsidRPr="005207F2">
        <w:rPr>
          <w:rFonts w:ascii="Calibri" w:hAnsi="Calibri" w:cs="Calibri"/>
          <w:szCs w:val="24"/>
        </w:rPr>
        <w:t xml:space="preserve"> iodophor swab per nostril. A recent study has shown that </w:t>
      </w:r>
      <w:r w:rsidR="0078722E">
        <w:rPr>
          <w:rFonts w:ascii="Calibri" w:hAnsi="Calibri" w:cs="Calibri"/>
          <w:szCs w:val="24"/>
        </w:rPr>
        <w:t xml:space="preserve">regimens of </w:t>
      </w:r>
      <w:r w:rsidRPr="005207F2">
        <w:rPr>
          <w:rFonts w:ascii="Calibri" w:hAnsi="Calibri" w:cs="Calibri"/>
          <w:szCs w:val="24"/>
        </w:rPr>
        <w:t>1-swab-per-nostril 10</w:t>
      </w:r>
      <w:r w:rsidR="005D3E18">
        <w:rPr>
          <w:rFonts w:ascii="Calibri" w:hAnsi="Calibri" w:cs="Calibri"/>
          <w:szCs w:val="24"/>
        </w:rPr>
        <w:t>-percent</w:t>
      </w:r>
      <w:r w:rsidRPr="005207F2">
        <w:rPr>
          <w:rFonts w:ascii="Calibri" w:hAnsi="Calibri" w:cs="Calibri"/>
          <w:szCs w:val="24"/>
        </w:rPr>
        <w:t xml:space="preserve"> iodophor and 2-swabs-per-nostril 5</w:t>
      </w:r>
      <w:r w:rsidR="005D3E18">
        <w:rPr>
          <w:rFonts w:ascii="Calibri" w:hAnsi="Calibri" w:cs="Calibri"/>
          <w:szCs w:val="24"/>
        </w:rPr>
        <w:t>-percent</w:t>
      </w:r>
      <w:r w:rsidRPr="005207F2">
        <w:rPr>
          <w:rFonts w:ascii="Calibri" w:hAnsi="Calibri" w:cs="Calibri"/>
          <w:szCs w:val="24"/>
        </w:rPr>
        <w:t xml:space="preserve"> iodophor demonstrated equivalent effectiveness.</w:t>
      </w:r>
      <w:r w:rsidR="003E066E" w:rsidRPr="005207F2">
        <w:rPr>
          <w:rFonts w:ascii="Calibri" w:hAnsi="Calibri" w:cs="Calibri"/>
          <w:szCs w:val="24"/>
          <w:vertAlign w:val="superscript"/>
        </w:rPr>
        <w:t>2</w:t>
      </w:r>
      <w:r w:rsidR="007951A4" w:rsidRPr="005207F2">
        <w:rPr>
          <w:rFonts w:ascii="Calibri" w:hAnsi="Calibri" w:cs="Calibri"/>
          <w:szCs w:val="24"/>
          <w:vertAlign w:val="superscript"/>
        </w:rPr>
        <w:t>8</w:t>
      </w:r>
      <w:r w:rsidRPr="005207F2">
        <w:rPr>
          <w:rFonts w:ascii="Calibri" w:hAnsi="Calibri" w:cs="Calibri"/>
          <w:szCs w:val="24"/>
          <w:vertAlign w:val="superscript"/>
        </w:rPr>
        <w:t xml:space="preserve"> </w:t>
      </w:r>
    </w:p>
    <w:p w14:paraId="683811C4" w14:textId="20D5BCD2" w:rsidR="00E81B4B" w:rsidRPr="005207F2" w:rsidRDefault="00E81B4B" w:rsidP="00EA3820">
      <w:pPr>
        <w:pStyle w:val="ListParagraph"/>
        <w:numPr>
          <w:ilvl w:val="0"/>
          <w:numId w:val="19"/>
        </w:numPr>
        <w:ind w:left="360"/>
        <w:contextualSpacing w:val="0"/>
        <w:rPr>
          <w:rFonts w:ascii="Calibri" w:hAnsi="Calibri" w:cs="Calibri"/>
        </w:rPr>
      </w:pPr>
      <w:r w:rsidRPr="005207F2">
        <w:rPr>
          <w:rFonts w:ascii="Calibri" w:hAnsi="Calibri" w:cs="Calibri"/>
          <w:b/>
        </w:rPr>
        <w:t xml:space="preserve">Should we be concerned about producing antimicrobial resistance? </w:t>
      </w:r>
      <w:r w:rsidRPr="005207F2">
        <w:rPr>
          <w:rFonts w:ascii="Calibri" w:hAnsi="Calibri" w:cs="Calibri"/>
        </w:rPr>
        <w:br/>
        <w:t xml:space="preserve">As with all antimicrobials, we must be vigilant about antimicrobial resistance. </w:t>
      </w:r>
      <w:r w:rsidR="00AF7629" w:rsidRPr="005207F2">
        <w:rPr>
          <w:rFonts w:ascii="Calibri" w:hAnsi="Calibri" w:cs="Calibri"/>
        </w:rPr>
        <w:t xml:space="preserve">The benefits and potential risks should be weighed with any strategy. </w:t>
      </w:r>
      <w:r w:rsidRPr="005207F2">
        <w:rPr>
          <w:rFonts w:ascii="Calibri" w:hAnsi="Calibri" w:cs="Calibri"/>
        </w:rPr>
        <w:t xml:space="preserve">Some discussion points include: </w:t>
      </w:r>
    </w:p>
    <w:p w14:paraId="4A0E807E" w14:textId="26900613" w:rsidR="00E81B4B" w:rsidRPr="005207F2" w:rsidRDefault="00E81B4B" w:rsidP="00EA3820">
      <w:pPr>
        <w:pStyle w:val="ListParagraph"/>
        <w:numPr>
          <w:ilvl w:val="1"/>
          <w:numId w:val="19"/>
        </w:numPr>
        <w:ind w:left="1080"/>
        <w:contextualSpacing w:val="0"/>
        <w:rPr>
          <w:rFonts w:ascii="Calibri" w:hAnsi="Calibri" w:cs="Calibri"/>
        </w:rPr>
      </w:pPr>
      <w:r w:rsidRPr="005207F2">
        <w:rPr>
          <w:rFonts w:ascii="Calibri" w:hAnsi="Calibri" w:cs="Calibri"/>
        </w:rPr>
        <w:t>Because chlorhexidine is an antiseptic</w:t>
      </w:r>
      <w:r w:rsidR="00CB2699">
        <w:rPr>
          <w:rFonts w:ascii="Calibri" w:hAnsi="Calibri" w:cs="Calibri"/>
        </w:rPr>
        <w:t xml:space="preserve"> </w:t>
      </w:r>
      <w:r w:rsidR="009208F5">
        <w:rPr>
          <w:rFonts w:ascii="Calibri" w:hAnsi="Calibri" w:cs="Calibri"/>
        </w:rPr>
        <w:t xml:space="preserve">and </w:t>
      </w:r>
      <w:r w:rsidR="00CB2699">
        <w:rPr>
          <w:rFonts w:ascii="Calibri" w:hAnsi="Calibri" w:cs="Calibri"/>
        </w:rPr>
        <w:t>is</w:t>
      </w:r>
      <w:r w:rsidRPr="005207F2">
        <w:rPr>
          <w:rFonts w:ascii="Calibri" w:hAnsi="Calibri" w:cs="Calibri"/>
        </w:rPr>
        <w:t xml:space="preserve"> not </w:t>
      </w:r>
      <w:r w:rsidR="00CB2699">
        <w:rPr>
          <w:rFonts w:ascii="Calibri" w:hAnsi="Calibri" w:cs="Calibri"/>
        </w:rPr>
        <w:t xml:space="preserve">used </w:t>
      </w:r>
      <w:r w:rsidRPr="005207F2">
        <w:rPr>
          <w:rFonts w:ascii="Calibri" w:hAnsi="Calibri" w:cs="Calibri"/>
        </w:rPr>
        <w:t xml:space="preserve">to treat active infection, resistance to this agent </w:t>
      </w:r>
      <w:r w:rsidR="00C67F66" w:rsidRPr="005207F2">
        <w:rPr>
          <w:rFonts w:ascii="Calibri" w:hAnsi="Calibri" w:cs="Calibri"/>
        </w:rPr>
        <w:t xml:space="preserve">will </w:t>
      </w:r>
      <w:r w:rsidRPr="005207F2">
        <w:rPr>
          <w:rFonts w:ascii="Calibri" w:hAnsi="Calibri" w:cs="Calibri"/>
        </w:rPr>
        <w:t>not result in the loss of an antimicrobial for therapy.</w:t>
      </w:r>
    </w:p>
    <w:p w14:paraId="29643805" w14:textId="36A3F631" w:rsidR="00E81B4B" w:rsidRPr="005207F2" w:rsidRDefault="00E81B4B" w:rsidP="00EA3820">
      <w:pPr>
        <w:pStyle w:val="ListParagraph"/>
        <w:numPr>
          <w:ilvl w:val="1"/>
          <w:numId w:val="19"/>
        </w:numPr>
        <w:ind w:left="1080"/>
        <w:contextualSpacing w:val="0"/>
        <w:rPr>
          <w:rFonts w:ascii="Calibri" w:hAnsi="Calibri" w:cs="Calibri"/>
        </w:rPr>
      </w:pPr>
      <w:r w:rsidRPr="005207F2">
        <w:rPr>
          <w:rStyle w:val="normaltextrun"/>
          <w:rFonts w:ascii="Calibri" w:hAnsi="Calibri" w:cs="Calibri"/>
          <w:shd w:val="clear" w:color="auto" w:fill="FFFFFF"/>
        </w:rPr>
        <w:t xml:space="preserve">Iodophor </w:t>
      </w:r>
      <w:r w:rsidR="001B0D41">
        <w:rPr>
          <w:rStyle w:val="normaltextrun"/>
          <w:rFonts w:ascii="Calibri" w:hAnsi="Calibri" w:cs="Calibri"/>
          <w:shd w:val="clear" w:color="auto" w:fill="FFFFFF"/>
        </w:rPr>
        <w:t xml:space="preserve">is </w:t>
      </w:r>
      <w:r w:rsidRPr="005207F2">
        <w:rPr>
          <w:rStyle w:val="normaltextrun"/>
          <w:rFonts w:ascii="Calibri" w:hAnsi="Calibri" w:cs="Calibri"/>
          <w:shd w:val="clear" w:color="auto" w:fill="FFFFFF"/>
        </w:rPr>
        <w:t xml:space="preserve">also </w:t>
      </w:r>
      <w:r w:rsidR="001B0D41">
        <w:rPr>
          <w:rStyle w:val="normaltextrun"/>
          <w:rFonts w:ascii="Calibri" w:hAnsi="Calibri" w:cs="Calibri"/>
          <w:shd w:val="clear" w:color="auto" w:fill="FFFFFF"/>
        </w:rPr>
        <w:t xml:space="preserve">an </w:t>
      </w:r>
      <w:r w:rsidRPr="005207F2">
        <w:rPr>
          <w:rStyle w:val="normaltextrun"/>
          <w:rFonts w:ascii="Calibri" w:hAnsi="Calibri" w:cs="Calibri"/>
          <w:shd w:val="clear" w:color="auto" w:fill="FFFFFF"/>
        </w:rPr>
        <w:t>antiseptic</w:t>
      </w:r>
      <w:r w:rsidR="001B0D41">
        <w:rPr>
          <w:rStyle w:val="normaltextrun"/>
          <w:rFonts w:ascii="Calibri" w:hAnsi="Calibri" w:cs="Calibri"/>
          <w:shd w:val="clear" w:color="auto" w:fill="FFFFFF"/>
        </w:rPr>
        <w:t>, so r</w:t>
      </w:r>
      <w:r w:rsidR="001B0D41" w:rsidRPr="005207F2">
        <w:rPr>
          <w:rStyle w:val="normaltextrun"/>
          <w:rFonts w:ascii="Calibri" w:hAnsi="Calibri" w:cs="Calibri"/>
          <w:shd w:val="clear" w:color="auto" w:fill="FFFFFF"/>
        </w:rPr>
        <w:t xml:space="preserve">esistance </w:t>
      </w:r>
      <w:r w:rsidRPr="005207F2">
        <w:rPr>
          <w:rStyle w:val="normaltextrun"/>
          <w:rFonts w:ascii="Calibri" w:hAnsi="Calibri" w:cs="Calibri"/>
          <w:shd w:val="clear" w:color="auto" w:fill="FFFFFF"/>
        </w:rPr>
        <w:t xml:space="preserve">will </w:t>
      </w:r>
      <w:r w:rsidR="002B4B6D">
        <w:rPr>
          <w:rStyle w:val="normaltextrun"/>
          <w:rFonts w:ascii="Calibri" w:hAnsi="Calibri" w:cs="Calibri"/>
          <w:shd w:val="clear" w:color="auto" w:fill="FFFFFF"/>
        </w:rPr>
        <w:t xml:space="preserve">also not result </w:t>
      </w:r>
      <w:r w:rsidRPr="005207F2">
        <w:rPr>
          <w:rStyle w:val="normaltextrun"/>
          <w:rFonts w:ascii="Calibri" w:hAnsi="Calibri" w:cs="Calibri"/>
          <w:shd w:val="clear" w:color="auto" w:fill="FFFFFF"/>
        </w:rPr>
        <w:t xml:space="preserve">in the loss of </w:t>
      </w:r>
      <w:r w:rsidR="001B0D41">
        <w:rPr>
          <w:rStyle w:val="normaltextrun"/>
          <w:rFonts w:ascii="Calibri" w:hAnsi="Calibri" w:cs="Calibri"/>
          <w:shd w:val="clear" w:color="auto" w:fill="FFFFFF"/>
        </w:rPr>
        <w:t>a therapeutic option.</w:t>
      </w:r>
    </w:p>
    <w:p w14:paraId="33796965" w14:textId="69E446B0" w:rsidR="00E81B4B" w:rsidRPr="005207F2" w:rsidRDefault="00E81B4B" w:rsidP="00EA3820">
      <w:pPr>
        <w:pStyle w:val="ListParagraph"/>
        <w:numPr>
          <w:ilvl w:val="1"/>
          <w:numId w:val="19"/>
        </w:numPr>
        <w:ind w:left="1080"/>
        <w:contextualSpacing w:val="0"/>
        <w:rPr>
          <w:rFonts w:ascii="Calibri" w:hAnsi="Calibri" w:cs="Calibri"/>
        </w:rPr>
      </w:pPr>
      <w:r w:rsidRPr="005207F2">
        <w:rPr>
          <w:rFonts w:ascii="Calibri" w:hAnsi="Calibri" w:cs="Calibri"/>
        </w:rPr>
        <w:t xml:space="preserve">Evidence for emergence of </w:t>
      </w:r>
      <w:r w:rsidR="002B4B6D">
        <w:rPr>
          <w:rFonts w:ascii="Calibri" w:hAnsi="Calibri" w:cs="Calibri"/>
        </w:rPr>
        <w:t xml:space="preserve">mupirocin </w:t>
      </w:r>
      <w:r w:rsidRPr="005207F2">
        <w:rPr>
          <w:rFonts w:ascii="Calibri" w:hAnsi="Calibri" w:cs="Calibri"/>
        </w:rPr>
        <w:t xml:space="preserve">resistance is mixed. </w:t>
      </w:r>
      <w:r w:rsidR="00BA68D0">
        <w:rPr>
          <w:rFonts w:ascii="Calibri" w:hAnsi="Calibri" w:cs="Calibri"/>
        </w:rPr>
        <w:t>Some s</w:t>
      </w:r>
      <w:r w:rsidR="000C4026">
        <w:rPr>
          <w:rFonts w:ascii="Calibri" w:hAnsi="Calibri" w:cs="Calibri"/>
        </w:rPr>
        <w:t xml:space="preserve">tudies </w:t>
      </w:r>
      <w:r w:rsidRPr="005207F2">
        <w:rPr>
          <w:rFonts w:ascii="Calibri" w:hAnsi="Calibri" w:cs="Calibri"/>
        </w:rPr>
        <w:t>ha</w:t>
      </w:r>
      <w:r w:rsidR="000C4026">
        <w:rPr>
          <w:rFonts w:ascii="Calibri" w:hAnsi="Calibri" w:cs="Calibri"/>
        </w:rPr>
        <w:t>ve</w:t>
      </w:r>
      <w:r w:rsidRPr="005207F2">
        <w:rPr>
          <w:rFonts w:ascii="Calibri" w:hAnsi="Calibri" w:cs="Calibri"/>
        </w:rPr>
        <w:t xml:space="preserve"> reported increased mupirocin resistance with broad </w:t>
      </w:r>
      <w:r w:rsidR="00BA68D0">
        <w:rPr>
          <w:rFonts w:ascii="Calibri" w:hAnsi="Calibri" w:cs="Calibri"/>
        </w:rPr>
        <w:t>mupirocin use</w:t>
      </w:r>
      <w:r w:rsidRPr="005207F2">
        <w:rPr>
          <w:rFonts w:ascii="Calibri" w:hAnsi="Calibri" w:cs="Calibri"/>
        </w:rPr>
        <w:t>,</w:t>
      </w:r>
      <w:r w:rsidR="00A36BEF" w:rsidRPr="005207F2">
        <w:rPr>
          <w:rFonts w:ascii="Calibri" w:hAnsi="Calibri" w:cs="Calibri"/>
          <w:vertAlign w:val="superscript"/>
        </w:rPr>
        <w:t>29,30</w:t>
      </w:r>
      <w:r w:rsidRPr="005207F2">
        <w:rPr>
          <w:rFonts w:ascii="Calibri" w:hAnsi="Calibri" w:cs="Calibri"/>
        </w:rPr>
        <w:t xml:space="preserve"> </w:t>
      </w:r>
      <w:r w:rsidR="00BA68D0">
        <w:rPr>
          <w:rFonts w:ascii="Calibri" w:hAnsi="Calibri" w:cs="Calibri"/>
        </w:rPr>
        <w:t xml:space="preserve">some reported </w:t>
      </w:r>
      <w:r w:rsidRPr="005207F2">
        <w:rPr>
          <w:rFonts w:ascii="Calibri" w:hAnsi="Calibri" w:cs="Calibri"/>
        </w:rPr>
        <w:t xml:space="preserve">increased resistance in the absence of broad </w:t>
      </w:r>
      <w:r w:rsidR="00BA68D0">
        <w:rPr>
          <w:rFonts w:ascii="Calibri" w:hAnsi="Calibri" w:cs="Calibri"/>
        </w:rPr>
        <w:t xml:space="preserve">mupirocin </w:t>
      </w:r>
      <w:r w:rsidRPr="005207F2">
        <w:rPr>
          <w:rFonts w:ascii="Calibri" w:hAnsi="Calibri" w:cs="Calibri"/>
        </w:rPr>
        <w:t>use,</w:t>
      </w:r>
      <w:r w:rsidR="003E066E" w:rsidRPr="005207F2">
        <w:rPr>
          <w:rFonts w:ascii="Calibri" w:hAnsi="Calibri" w:cs="Calibri"/>
          <w:vertAlign w:val="superscript"/>
        </w:rPr>
        <w:t>3</w:t>
      </w:r>
      <w:r w:rsidR="00A36BEF" w:rsidRPr="005207F2">
        <w:rPr>
          <w:rFonts w:ascii="Calibri" w:hAnsi="Calibri" w:cs="Calibri"/>
          <w:vertAlign w:val="superscript"/>
        </w:rPr>
        <w:t>1</w:t>
      </w:r>
      <w:r w:rsidRPr="005207F2">
        <w:rPr>
          <w:rFonts w:ascii="Calibri" w:hAnsi="Calibri" w:cs="Calibri"/>
        </w:rPr>
        <w:t xml:space="preserve"> and </w:t>
      </w:r>
      <w:r w:rsidR="00BA68D0">
        <w:rPr>
          <w:rFonts w:ascii="Calibri" w:hAnsi="Calibri" w:cs="Calibri"/>
        </w:rPr>
        <w:t xml:space="preserve">some reported </w:t>
      </w:r>
      <w:r w:rsidRPr="005207F2">
        <w:rPr>
          <w:rFonts w:ascii="Calibri" w:hAnsi="Calibri" w:cs="Calibri"/>
        </w:rPr>
        <w:t xml:space="preserve">no increase in resistance with broad </w:t>
      </w:r>
      <w:r w:rsidR="00BA68D0">
        <w:rPr>
          <w:rFonts w:ascii="Calibri" w:hAnsi="Calibri" w:cs="Calibri"/>
        </w:rPr>
        <w:t xml:space="preserve">mupirocin </w:t>
      </w:r>
      <w:r w:rsidRPr="005207F2">
        <w:rPr>
          <w:rFonts w:ascii="Calibri" w:hAnsi="Calibri" w:cs="Calibri"/>
        </w:rPr>
        <w:t>use.</w:t>
      </w:r>
      <w:r w:rsidR="003E066E" w:rsidRPr="005207F2">
        <w:rPr>
          <w:rFonts w:ascii="Calibri" w:hAnsi="Calibri" w:cs="Calibri"/>
          <w:vertAlign w:val="superscript"/>
        </w:rPr>
        <w:t>3</w:t>
      </w:r>
      <w:r w:rsidR="00A36BEF" w:rsidRPr="005207F2">
        <w:rPr>
          <w:rFonts w:ascii="Calibri" w:hAnsi="Calibri" w:cs="Calibri"/>
          <w:vertAlign w:val="superscript"/>
        </w:rPr>
        <w:t>2-35</w:t>
      </w:r>
      <w:r w:rsidRPr="005207F2">
        <w:rPr>
          <w:rFonts w:ascii="Calibri" w:hAnsi="Calibri" w:cs="Calibri"/>
        </w:rPr>
        <w:t xml:space="preserve"> </w:t>
      </w:r>
      <w:r w:rsidRPr="005207F2">
        <w:rPr>
          <w:rStyle w:val="normaltextrun"/>
          <w:rFonts w:ascii="Calibri" w:hAnsi="Calibri" w:cs="Calibri"/>
          <w:shd w:val="clear" w:color="auto" w:fill="FFFFFF"/>
        </w:rPr>
        <w:t>Recently, the Mupirocin-Iodophor Swap Out Trial found that the clinical benefit associated with the mupirocin</w:t>
      </w:r>
      <w:r w:rsidR="00BA68D0">
        <w:rPr>
          <w:rStyle w:val="normaltextrun"/>
          <w:rFonts w:ascii="Calibri" w:hAnsi="Calibri" w:cs="Calibri"/>
          <w:shd w:val="clear" w:color="auto" w:fill="FFFFFF"/>
        </w:rPr>
        <w:t xml:space="preserve"> and </w:t>
      </w:r>
      <w:r w:rsidRPr="005207F2">
        <w:rPr>
          <w:rStyle w:val="normaltextrun"/>
          <w:rFonts w:ascii="Calibri" w:hAnsi="Calibri" w:cs="Calibri"/>
          <w:shd w:val="clear" w:color="auto" w:fill="FFFFFF"/>
        </w:rPr>
        <w:t xml:space="preserve">CHG decolonization was undiminished </w:t>
      </w:r>
      <w:r w:rsidR="00BA68D0">
        <w:rPr>
          <w:rStyle w:val="normaltextrun"/>
          <w:rFonts w:ascii="Calibri" w:hAnsi="Calibri" w:cs="Calibri"/>
          <w:shd w:val="clear" w:color="auto" w:fill="FFFFFF"/>
        </w:rPr>
        <w:t xml:space="preserve">after </w:t>
      </w:r>
      <w:r w:rsidRPr="005207F2">
        <w:rPr>
          <w:rStyle w:val="normaltextrun"/>
          <w:rFonts w:ascii="Calibri" w:hAnsi="Calibri" w:cs="Calibri"/>
          <w:shd w:val="clear" w:color="auto" w:fill="FFFFFF"/>
        </w:rPr>
        <w:t>7 years of continuous ICU use in the same health system</w:t>
      </w:r>
      <w:r w:rsidR="00BA68D0">
        <w:rPr>
          <w:rStyle w:val="normaltextrun"/>
          <w:rFonts w:ascii="Calibri" w:hAnsi="Calibri" w:cs="Calibri"/>
          <w:shd w:val="clear" w:color="auto" w:fill="FFFFFF"/>
        </w:rPr>
        <w:t xml:space="preserve">, which </w:t>
      </w:r>
      <w:r w:rsidRPr="005207F2">
        <w:rPr>
          <w:rStyle w:val="normaltextrun"/>
          <w:rFonts w:ascii="Calibri" w:hAnsi="Calibri" w:cs="Calibri"/>
          <w:shd w:val="clear" w:color="auto" w:fill="FFFFFF"/>
        </w:rPr>
        <w:t>suggest</w:t>
      </w:r>
      <w:r w:rsidR="00BA68D0">
        <w:rPr>
          <w:rStyle w:val="normaltextrun"/>
          <w:rFonts w:ascii="Calibri" w:hAnsi="Calibri" w:cs="Calibri"/>
          <w:shd w:val="clear" w:color="auto" w:fill="FFFFFF"/>
        </w:rPr>
        <w:t>ed</w:t>
      </w:r>
      <w:r w:rsidRPr="005207F2">
        <w:rPr>
          <w:rStyle w:val="normaltextrun"/>
          <w:rFonts w:ascii="Calibri" w:hAnsi="Calibri" w:cs="Calibri"/>
          <w:shd w:val="clear" w:color="auto" w:fill="FFFFFF"/>
        </w:rPr>
        <w:t xml:space="preserve"> a lack of clinically significant resistance to mupirocin across this period.</w:t>
      </w:r>
      <w:r w:rsidR="00213D01" w:rsidRPr="005207F2">
        <w:rPr>
          <w:rStyle w:val="normaltextrun"/>
          <w:rFonts w:ascii="Calibri" w:hAnsi="Calibri" w:cs="Calibri"/>
          <w:shd w:val="clear" w:color="auto" w:fill="FFFFFF"/>
          <w:vertAlign w:val="superscript"/>
        </w:rPr>
        <w:t>35</w:t>
      </w:r>
      <w:r w:rsidR="00C67F66" w:rsidRPr="005207F2">
        <w:rPr>
          <w:rStyle w:val="normaltextrun"/>
          <w:rFonts w:ascii="Calibri" w:hAnsi="Calibri" w:cs="Calibri"/>
          <w:shd w:val="clear" w:color="auto" w:fill="FFFFFF"/>
          <w:vertAlign w:val="superscript"/>
        </w:rPr>
        <w:t xml:space="preserve"> </w:t>
      </w:r>
      <w:r w:rsidRPr="005207F2">
        <w:rPr>
          <w:rStyle w:val="normaltextrun"/>
          <w:rFonts w:ascii="Calibri" w:hAnsi="Calibri" w:cs="Calibri"/>
          <w:shd w:val="clear" w:color="auto" w:fill="FFFFFF"/>
        </w:rPr>
        <w:t xml:space="preserve">Nevertheless, ongoing surveillance by researchers and national surveillance systems will be important in monitoring </w:t>
      </w:r>
      <w:r w:rsidR="00AE730E">
        <w:rPr>
          <w:rStyle w:val="normaltextrun"/>
          <w:rFonts w:ascii="Calibri" w:hAnsi="Calibri" w:cs="Calibri"/>
          <w:shd w:val="clear" w:color="auto" w:fill="FFFFFF"/>
        </w:rPr>
        <w:t xml:space="preserve">for </w:t>
      </w:r>
      <w:r w:rsidRPr="005207F2">
        <w:rPr>
          <w:rStyle w:val="normaltextrun"/>
          <w:rFonts w:ascii="Calibri" w:hAnsi="Calibri" w:cs="Calibri"/>
          <w:shd w:val="clear" w:color="auto" w:fill="FFFFFF"/>
        </w:rPr>
        <w:t>resistance to decolonization products.</w:t>
      </w:r>
    </w:p>
    <w:p w14:paraId="53CD03EF" w14:textId="28A3ED5F" w:rsidR="00E81B4B" w:rsidRPr="000D252F" w:rsidRDefault="000D252F" w:rsidP="000D252F">
      <w:pPr>
        <w:pStyle w:val="ListParagraph"/>
        <w:numPr>
          <w:ilvl w:val="1"/>
          <w:numId w:val="19"/>
        </w:numPr>
        <w:ind w:left="1080"/>
        <w:contextualSpacing w:val="0"/>
        <w:rPr>
          <w:rFonts w:ascii="Calibri" w:hAnsi="Calibri" w:cs="Calibri"/>
        </w:rPr>
      </w:pPr>
      <w:r w:rsidRPr="000D252F">
        <w:rPr>
          <w:rFonts w:ascii="Calibri" w:hAnsi="Calibri" w:cs="Calibri"/>
        </w:rPr>
        <w:t xml:space="preserve">If your hospital has data on local mupirocin resistance, </w:t>
      </w:r>
      <w:r w:rsidR="00593353">
        <w:rPr>
          <w:rFonts w:ascii="Calibri" w:hAnsi="Calibri" w:cs="Calibri"/>
        </w:rPr>
        <w:t>these</w:t>
      </w:r>
      <w:r w:rsidR="00593353" w:rsidRPr="000D252F">
        <w:rPr>
          <w:rFonts w:ascii="Calibri" w:hAnsi="Calibri" w:cs="Calibri"/>
        </w:rPr>
        <w:t xml:space="preserve"> </w:t>
      </w:r>
      <w:r w:rsidRPr="000D252F">
        <w:rPr>
          <w:rFonts w:ascii="Calibri" w:hAnsi="Calibri" w:cs="Calibri"/>
        </w:rPr>
        <w:t>data can be used to guide decision-making.</w:t>
      </w:r>
      <w:r>
        <w:rPr>
          <w:rFonts w:ascii="Calibri" w:hAnsi="Calibri" w:cs="Calibri"/>
        </w:rPr>
        <w:t xml:space="preserve"> </w:t>
      </w:r>
      <w:r w:rsidR="00E81B4B" w:rsidRPr="000D252F">
        <w:rPr>
          <w:rFonts w:ascii="Calibri" w:hAnsi="Calibri" w:cs="Calibri"/>
        </w:rPr>
        <w:t xml:space="preserve">Since mupirocin resistance is not routinely tested, most hospitals will not have </w:t>
      </w:r>
      <w:r w:rsidR="001D254E" w:rsidRPr="000D252F">
        <w:rPr>
          <w:rFonts w:ascii="Calibri" w:hAnsi="Calibri" w:cs="Calibri"/>
        </w:rPr>
        <w:t xml:space="preserve">access to </w:t>
      </w:r>
      <w:r>
        <w:rPr>
          <w:rFonts w:ascii="Calibri" w:hAnsi="Calibri" w:cs="Calibri"/>
        </w:rPr>
        <w:t>local resistance data</w:t>
      </w:r>
      <w:r w:rsidR="00E81B4B" w:rsidRPr="000D252F">
        <w:rPr>
          <w:rFonts w:ascii="Calibri" w:hAnsi="Calibri" w:cs="Calibri"/>
        </w:rPr>
        <w:t xml:space="preserve">. </w:t>
      </w:r>
    </w:p>
    <w:p w14:paraId="7B1CC329" w14:textId="74FCC7D0" w:rsidR="00E81B4B" w:rsidRPr="005207F2" w:rsidRDefault="00E81B4B" w:rsidP="00EA3820">
      <w:pPr>
        <w:pStyle w:val="ListParagraph"/>
        <w:numPr>
          <w:ilvl w:val="1"/>
          <w:numId w:val="19"/>
        </w:numPr>
        <w:ind w:left="1080"/>
        <w:contextualSpacing w:val="0"/>
        <w:rPr>
          <w:rFonts w:cstheme="minorHAnsi"/>
        </w:rPr>
      </w:pPr>
      <w:r w:rsidRPr="005207F2">
        <w:rPr>
          <w:rFonts w:cstheme="minorHAnsi"/>
        </w:rPr>
        <w:t xml:space="preserve">Chlorhexidine resistance has </w:t>
      </w:r>
      <w:r w:rsidR="00601E9B">
        <w:rPr>
          <w:rFonts w:cstheme="minorHAnsi"/>
        </w:rPr>
        <w:t xml:space="preserve">rarely </w:t>
      </w:r>
      <w:r w:rsidRPr="005207F2">
        <w:rPr>
          <w:rFonts w:cstheme="minorHAnsi"/>
        </w:rPr>
        <w:t>been reported in the United States.</w:t>
      </w:r>
      <w:r w:rsidR="003E066E" w:rsidRPr="005207F2">
        <w:rPr>
          <w:rFonts w:cstheme="minorHAnsi"/>
          <w:vertAlign w:val="superscript"/>
        </w:rPr>
        <w:t>3</w:t>
      </w:r>
      <w:r w:rsidR="00E90076" w:rsidRPr="005207F2">
        <w:rPr>
          <w:rFonts w:cstheme="minorHAnsi"/>
          <w:vertAlign w:val="superscript"/>
        </w:rPr>
        <w:t>5</w:t>
      </w:r>
      <w:r w:rsidRPr="005207F2">
        <w:rPr>
          <w:rFonts w:cstheme="minorHAnsi"/>
        </w:rPr>
        <w:t xml:space="preserve"> </w:t>
      </w:r>
    </w:p>
    <w:p w14:paraId="1977E5D9" w14:textId="33D61A4C" w:rsidR="00E81B4B" w:rsidRPr="005207F2" w:rsidRDefault="00E81B4B" w:rsidP="00EA3820">
      <w:pPr>
        <w:pStyle w:val="ListParagraph"/>
        <w:numPr>
          <w:ilvl w:val="0"/>
          <w:numId w:val="19"/>
        </w:numPr>
        <w:ind w:left="360"/>
        <w:contextualSpacing w:val="0"/>
        <w:rPr>
          <w:rFonts w:ascii="Calibri" w:hAnsi="Calibri" w:cs="Calibri"/>
        </w:rPr>
      </w:pPr>
      <w:r w:rsidRPr="005207F2">
        <w:rPr>
          <w:rFonts w:ascii="Calibri" w:hAnsi="Calibri" w:cs="Calibri"/>
          <w:b/>
        </w:rPr>
        <w:t xml:space="preserve">Aren’t some bacteria good for us? Will this strategy remove good bacteria? </w:t>
      </w:r>
      <w:r w:rsidRPr="005207F2">
        <w:rPr>
          <w:rFonts w:ascii="Calibri" w:hAnsi="Calibri" w:cs="Calibri"/>
          <w:b/>
        </w:rPr>
        <w:br/>
      </w:r>
      <w:r w:rsidR="00601E9B">
        <w:rPr>
          <w:rFonts w:ascii="Calibri" w:hAnsi="Calibri" w:cs="Calibri"/>
        </w:rPr>
        <w:t xml:space="preserve">While it’s true that many bacteria on the skin are harmless or even beneficial, </w:t>
      </w:r>
      <w:r w:rsidR="0083251A">
        <w:rPr>
          <w:rFonts w:ascii="Calibri" w:hAnsi="Calibri" w:cs="Calibri"/>
        </w:rPr>
        <w:t>hospitalization increases the risk of these bacteria causing harm</w:t>
      </w:r>
      <w:r w:rsidRPr="005207F2">
        <w:rPr>
          <w:rFonts w:ascii="Calibri" w:hAnsi="Calibri" w:cs="Calibri"/>
        </w:rPr>
        <w:t>. The use of intravenous lines and medical devices</w:t>
      </w:r>
      <w:r w:rsidR="00EA755D">
        <w:rPr>
          <w:rFonts w:ascii="Calibri" w:hAnsi="Calibri" w:cs="Calibri"/>
        </w:rPr>
        <w:t>,</w:t>
      </w:r>
      <w:r w:rsidR="0083251A">
        <w:rPr>
          <w:rFonts w:ascii="Calibri" w:hAnsi="Calibri" w:cs="Calibri"/>
        </w:rPr>
        <w:t xml:space="preserve"> the presence </w:t>
      </w:r>
      <w:r w:rsidR="00593353">
        <w:rPr>
          <w:rFonts w:ascii="Calibri" w:hAnsi="Calibri" w:cs="Calibri"/>
        </w:rPr>
        <w:t xml:space="preserve">of </w:t>
      </w:r>
      <w:r w:rsidRPr="005207F2">
        <w:rPr>
          <w:rFonts w:ascii="Calibri" w:hAnsi="Calibri" w:cs="Calibri"/>
        </w:rPr>
        <w:t>surgical wounds and other breaks in the skin</w:t>
      </w:r>
      <w:r w:rsidR="00EA755D">
        <w:rPr>
          <w:rFonts w:ascii="Calibri" w:hAnsi="Calibri" w:cs="Calibri"/>
        </w:rPr>
        <w:t xml:space="preserve">, and reduced immunity due to illness or medication all contribute to </w:t>
      </w:r>
      <w:r w:rsidR="00593353">
        <w:rPr>
          <w:rFonts w:ascii="Calibri" w:hAnsi="Calibri" w:cs="Calibri"/>
        </w:rPr>
        <w:t xml:space="preserve">an </w:t>
      </w:r>
      <w:r w:rsidR="00EA755D">
        <w:rPr>
          <w:rFonts w:ascii="Calibri" w:hAnsi="Calibri" w:cs="Calibri"/>
        </w:rPr>
        <w:t xml:space="preserve">increased chance </w:t>
      </w:r>
      <w:r w:rsidRPr="005207F2">
        <w:rPr>
          <w:rFonts w:ascii="Calibri" w:hAnsi="Calibri" w:cs="Calibri"/>
        </w:rPr>
        <w:t>that normal</w:t>
      </w:r>
      <w:r w:rsidR="00EA755D">
        <w:rPr>
          <w:rFonts w:ascii="Calibri" w:hAnsi="Calibri" w:cs="Calibri"/>
        </w:rPr>
        <w:t>ly harmless</w:t>
      </w:r>
      <w:r w:rsidRPr="005207F2">
        <w:rPr>
          <w:rFonts w:ascii="Calibri" w:hAnsi="Calibri" w:cs="Calibri"/>
        </w:rPr>
        <w:t xml:space="preserve"> bacteria can enter sterile places and </w:t>
      </w:r>
      <w:r w:rsidR="00525B92">
        <w:rPr>
          <w:rFonts w:ascii="Calibri" w:hAnsi="Calibri" w:cs="Calibri"/>
        </w:rPr>
        <w:t xml:space="preserve">cause an </w:t>
      </w:r>
      <w:r w:rsidRPr="005207F2">
        <w:rPr>
          <w:rFonts w:ascii="Calibri" w:hAnsi="Calibri" w:cs="Calibri"/>
        </w:rPr>
        <w:t xml:space="preserve">infection. </w:t>
      </w:r>
    </w:p>
    <w:p w14:paraId="6D9B7FFF" w14:textId="091039EF" w:rsidR="00606DCD" w:rsidRPr="005207F2" w:rsidRDefault="00606DCD" w:rsidP="00116E08">
      <w:pPr>
        <w:pStyle w:val="Heading2"/>
      </w:pPr>
      <w:r w:rsidRPr="005207F2">
        <w:t xml:space="preserve">Develop a CUSP </w:t>
      </w:r>
      <w:r w:rsidR="00BD101A">
        <w:t>T</w:t>
      </w:r>
      <w:r w:rsidRPr="005207F2">
        <w:t>eam</w:t>
      </w:r>
    </w:p>
    <w:p w14:paraId="0468A78C" w14:textId="24EE9F5D" w:rsidR="00022DBA" w:rsidRPr="005207F2" w:rsidRDefault="00F13205" w:rsidP="00022DBA">
      <w:r w:rsidRPr="00F13205">
        <w:t>The Comprehensive Unit-based Safety Program</w:t>
      </w:r>
      <w:r>
        <w:t xml:space="preserve">, or </w:t>
      </w:r>
      <w:r w:rsidRPr="00F13205">
        <w:t>CUSP</w:t>
      </w:r>
      <w:r>
        <w:t>,</w:t>
      </w:r>
      <w:r w:rsidRPr="00F13205">
        <w:t xml:space="preserve"> is a </w:t>
      </w:r>
      <w:r w:rsidR="002C59A4">
        <w:t xml:space="preserve">proven patient safety and quality improvement framework that is integrated into </w:t>
      </w:r>
      <w:r w:rsidR="002C59A4">
        <w:rPr>
          <w:rFonts w:ascii="Calibri" w:hAnsi="Calibri" w:cs="Calibri"/>
        </w:rPr>
        <w:t>t</w:t>
      </w:r>
      <w:r w:rsidR="002C59A4" w:rsidRPr="005207F2">
        <w:rPr>
          <w:rFonts w:ascii="Calibri" w:hAnsi="Calibri" w:cs="Calibri"/>
        </w:rPr>
        <w:t xml:space="preserve">he AHRQ </w:t>
      </w:r>
      <w:r w:rsidR="002C59A4" w:rsidRPr="005207F2">
        <w:t>Toolkit for MRSA Prevention</w:t>
      </w:r>
      <w:r w:rsidRPr="00F13205">
        <w:t xml:space="preserve">. </w:t>
      </w:r>
      <w:r w:rsidR="00A5655A">
        <w:t xml:space="preserve">A core element of </w:t>
      </w:r>
      <w:r w:rsidR="00022DBA">
        <w:t xml:space="preserve">CUSP is </w:t>
      </w:r>
      <w:r w:rsidR="00A423E8">
        <w:t>the</w:t>
      </w:r>
      <w:r w:rsidR="00022DBA">
        <w:t xml:space="preserve"> </w:t>
      </w:r>
      <w:r w:rsidR="00022DBA" w:rsidRPr="005207F2">
        <w:t>CUSP team</w:t>
      </w:r>
      <w:r w:rsidR="00022DBA">
        <w:t xml:space="preserve">, </w:t>
      </w:r>
      <w:r w:rsidR="00A5655A">
        <w:t xml:space="preserve">comprised </w:t>
      </w:r>
      <w:r w:rsidR="00022DBA">
        <w:t xml:space="preserve">of frontline staff </w:t>
      </w:r>
      <w:r w:rsidR="00EA7FEB">
        <w:t xml:space="preserve">who </w:t>
      </w:r>
      <w:r w:rsidR="000956A0">
        <w:t xml:space="preserve">initiate and drive </w:t>
      </w:r>
      <w:r w:rsidR="00022DBA" w:rsidRPr="005207F2">
        <w:t xml:space="preserve">the implementation of </w:t>
      </w:r>
      <w:r w:rsidR="00022DBA">
        <w:t>patient safety interventions</w:t>
      </w:r>
      <w:r w:rsidR="00022DBA" w:rsidRPr="005207F2">
        <w:t xml:space="preserve">. </w:t>
      </w:r>
      <w:r w:rsidR="00022DBA">
        <w:lastRenderedPageBreak/>
        <w:t xml:space="preserve">For more </w:t>
      </w:r>
      <w:r w:rsidR="00A5655A">
        <w:t>detail</w:t>
      </w:r>
      <w:r w:rsidR="00022DBA">
        <w:t xml:space="preserve"> on CUSP, refer to the </w:t>
      </w:r>
      <w:r w:rsidR="00F7114F">
        <w:t>sections</w:t>
      </w:r>
      <w:r w:rsidR="00022DBA">
        <w:t xml:space="preserve"> on</w:t>
      </w:r>
      <w:r w:rsidR="00022DBA" w:rsidRPr="005207F2">
        <w:rPr>
          <w:b/>
          <w:bCs/>
        </w:rPr>
        <w:t xml:space="preserve"> </w:t>
      </w:r>
      <w:r w:rsidR="00022DBA" w:rsidRPr="00825584">
        <w:t>“</w:t>
      </w:r>
      <w:hyperlink r:id="rId21" w:history="1">
        <w:r w:rsidR="00022DBA" w:rsidRPr="00751978">
          <w:rPr>
            <w:rStyle w:val="Hyperlink"/>
            <w:b/>
            <w:bCs/>
          </w:rPr>
          <w:t>Why Choose a C</w:t>
        </w:r>
        <w:r w:rsidR="00022DBA" w:rsidRPr="00751978">
          <w:rPr>
            <w:rStyle w:val="Hyperlink"/>
            <w:b/>
            <w:bCs/>
          </w:rPr>
          <w:t>U</w:t>
        </w:r>
        <w:r w:rsidR="00022DBA" w:rsidRPr="00751978">
          <w:rPr>
            <w:rStyle w:val="Hyperlink"/>
            <w:b/>
            <w:bCs/>
          </w:rPr>
          <w:t>SP Approach</w:t>
        </w:r>
      </w:hyperlink>
      <w:r w:rsidR="00022DBA" w:rsidRPr="00825584">
        <w:t>” and “</w:t>
      </w:r>
      <w:hyperlink r:id="rId22" w:history="1">
        <w:r w:rsidR="00022DBA" w:rsidRPr="00751978">
          <w:rPr>
            <w:rStyle w:val="Hyperlink"/>
            <w:b/>
            <w:bCs/>
          </w:rPr>
          <w:t xml:space="preserve">How </w:t>
        </w:r>
        <w:r w:rsidR="00751978">
          <w:rPr>
            <w:rStyle w:val="Hyperlink"/>
            <w:b/>
            <w:bCs/>
          </w:rPr>
          <w:t>T</w:t>
        </w:r>
        <w:r w:rsidR="00022DBA" w:rsidRPr="00751978">
          <w:rPr>
            <w:rStyle w:val="Hyperlink"/>
            <w:b/>
            <w:bCs/>
          </w:rPr>
          <w:t>o Inte</w:t>
        </w:r>
        <w:r w:rsidR="00022DBA" w:rsidRPr="00751978">
          <w:rPr>
            <w:rStyle w:val="Hyperlink"/>
            <w:b/>
            <w:bCs/>
          </w:rPr>
          <w:t>g</w:t>
        </w:r>
        <w:r w:rsidR="00022DBA" w:rsidRPr="00751978">
          <w:rPr>
            <w:rStyle w:val="Hyperlink"/>
            <w:b/>
            <w:bCs/>
          </w:rPr>
          <w:t>rate a CUSP Approach</w:t>
        </w:r>
      </w:hyperlink>
      <w:r w:rsidR="00022DBA" w:rsidRPr="00825584">
        <w:t>”</w:t>
      </w:r>
      <w:r w:rsidR="00022DBA">
        <w:t xml:space="preserve"> </w:t>
      </w:r>
      <w:r w:rsidR="00F7114F">
        <w:t>o</w:t>
      </w:r>
      <w:r w:rsidR="00022DBA">
        <w:t>n the Toolkit website.</w:t>
      </w:r>
    </w:p>
    <w:p w14:paraId="7B523062" w14:textId="271DE200" w:rsidR="00A70FF9" w:rsidRDefault="00A5655A" w:rsidP="00A70FF9">
      <w:r>
        <w:rPr>
          <w:rFonts w:ascii="Calibri" w:hAnsi="Calibri" w:cs="Calibri"/>
        </w:rPr>
        <w:t>Implementing</w:t>
      </w:r>
      <w:r w:rsidR="003B5BBA">
        <w:t xml:space="preserve"> </w:t>
      </w:r>
      <w:r w:rsidR="00593353">
        <w:t xml:space="preserve">a </w:t>
      </w:r>
      <w:r w:rsidR="003B5BBA">
        <w:t xml:space="preserve">CUSP </w:t>
      </w:r>
      <w:r w:rsidR="00B27EB4">
        <w:t>program</w:t>
      </w:r>
      <w:r w:rsidR="003B5BBA">
        <w:t xml:space="preserve"> is </w:t>
      </w:r>
      <w:r w:rsidR="003B5BBA" w:rsidRPr="00DD76C1">
        <w:rPr>
          <w:u w:val="single"/>
        </w:rPr>
        <w:t>not</w:t>
      </w:r>
      <w:r w:rsidR="003B5BBA">
        <w:t xml:space="preserve"> </w:t>
      </w:r>
      <w:r w:rsidR="000956A0">
        <w:t xml:space="preserve">required to use </w:t>
      </w:r>
      <w:r w:rsidR="003B5BBA">
        <w:t xml:space="preserve">these </w:t>
      </w:r>
      <w:r w:rsidR="00F8192D">
        <w:t xml:space="preserve">decolonization </w:t>
      </w:r>
      <w:r w:rsidR="00861846">
        <w:t>guides or materials</w:t>
      </w:r>
      <w:r w:rsidR="00F8192D">
        <w:t xml:space="preserve">. CUSP principles </w:t>
      </w:r>
      <w:r>
        <w:t xml:space="preserve">are </w:t>
      </w:r>
      <w:r w:rsidR="00F7114F">
        <w:t xml:space="preserve">embedded into the </w:t>
      </w:r>
      <w:r w:rsidR="000F0056">
        <w:t>Toolkit’s design</w:t>
      </w:r>
      <w:r>
        <w:t>,</w:t>
      </w:r>
      <w:r w:rsidR="00B27EB4">
        <w:t xml:space="preserve"> </w:t>
      </w:r>
      <w:r>
        <w:t>so</w:t>
      </w:r>
      <w:r w:rsidR="00F7114F">
        <w:t xml:space="preserve"> </w:t>
      </w:r>
      <w:r w:rsidR="000F0056">
        <w:t xml:space="preserve">it </w:t>
      </w:r>
      <w:r w:rsidR="00B27EB4">
        <w:t xml:space="preserve">can be used </w:t>
      </w:r>
      <w:r w:rsidR="00F7114F">
        <w:t xml:space="preserve">effectively </w:t>
      </w:r>
      <w:r w:rsidR="00B27EB4">
        <w:t xml:space="preserve">without a </w:t>
      </w:r>
      <w:r w:rsidR="00F7114F">
        <w:t xml:space="preserve">formal </w:t>
      </w:r>
      <w:r w:rsidR="00B27EB4">
        <w:t xml:space="preserve">CUSP </w:t>
      </w:r>
      <w:r w:rsidR="00F7114F">
        <w:t>structure</w:t>
      </w:r>
      <w:r w:rsidR="00B27EB4">
        <w:t>.</w:t>
      </w:r>
    </w:p>
    <w:p w14:paraId="2903FE59" w14:textId="0E9850C3" w:rsidR="00387B00" w:rsidRDefault="00A5655A" w:rsidP="004E6F96">
      <w:r>
        <w:t>Even without a formal CUSP team in place</w:t>
      </w:r>
      <w:r w:rsidRPr="006613DD">
        <w:t xml:space="preserve">, </w:t>
      </w:r>
      <w:r w:rsidR="00F7114F">
        <w:t xml:space="preserve">assembling </w:t>
      </w:r>
      <w:r w:rsidR="00A70FF9">
        <w:t xml:space="preserve">a </w:t>
      </w:r>
      <w:r w:rsidR="00F7114F">
        <w:t xml:space="preserve">dedicated </w:t>
      </w:r>
      <w:r w:rsidR="00F7114F" w:rsidRPr="00DD76C1">
        <w:rPr>
          <w:b/>
          <w:bCs/>
        </w:rPr>
        <w:t>Decolonization T</w:t>
      </w:r>
      <w:r w:rsidR="00A70FF9" w:rsidRPr="00DD76C1">
        <w:rPr>
          <w:b/>
          <w:bCs/>
        </w:rPr>
        <w:t>eam</w:t>
      </w:r>
      <w:r w:rsidR="00A70FF9">
        <w:t xml:space="preserve"> </w:t>
      </w:r>
      <w:r w:rsidR="009C31F2">
        <w:t xml:space="preserve">that will oversee the decolonization planning and rollout </w:t>
      </w:r>
      <w:r w:rsidR="00F7114F">
        <w:t>is essential for success</w:t>
      </w:r>
      <w:r w:rsidR="00A70FF9">
        <w:t>.</w:t>
      </w:r>
      <w:r w:rsidR="003D201A">
        <w:t xml:space="preserve"> </w:t>
      </w:r>
      <w:r w:rsidR="00606DCD" w:rsidRPr="005207F2">
        <w:t xml:space="preserve">Your team should include representatives from </w:t>
      </w:r>
      <w:r w:rsidR="0046052D">
        <w:t xml:space="preserve">all key </w:t>
      </w:r>
      <w:r w:rsidR="00606DCD" w:rsidRPr="005207F2">
        <w:t>role</w:t>
      </w:r>
      <w:r w:rsidR="0046052D">
        <w:t>s</w:t>
      </w:r>
      <w:r w:rsidR="00606DCD" w:rsidRPr="005207F2">
        <w:t xml:space="preserve"> </w:t>
      </w:r>
      <w:r w:rsidR="00A7023F">
        <w:t xml:space="preserve">involved in </w:t>
      </w:r>
      <w:r w:rsidR="003D201A">
        <w:t>decolonization</w:t>
      </w:r>
      <w:r w:rsidR="00A7023F">
        <w:t xml:space="preserve">, </w:t>
      </w:r>
      <w:r w:rsidR="00606DCD" w:rsidRPr="005207F2">
        <w:t>includ</w:t>
      </w:r>
      <w:r w:rsidR="00A7023F">
        <w:t>ing</w:t>
      </w:r>
      <w:r w:rsidR="00606DCD" w:rsidRPr="005207F2">
        <w:t xml:space="preserve"> nurses, physicians, nurses’ aides, environmental services, and infection prevention personnel. </w:t>
      </w:r>
      <w:r w:rsidR="004E6F96">
        <w:t xml:space="preserve">A diversity of </w:t>
      </w:r>
      <w:r w:rsidR="00A7023F">
        <w:t xml:space="preserve">perspectives </w:t>
      </w:r>
      <w:r w:rsidR="00C167FE">
        <w:t xml:space="preserve">broadens </w:t>
      </w:r>
      <w:r w:rsidR="006F2BF4">
        <w:t xml:space="preserve">your </w:t>
      </w:r>
      <w:r>
        <w:t xml:space="preserve">team’s </w:t>
      </w:r>
      <w:r w:rsidR="006F2BF4">
        <w:t xml:space="preserve">awareness and </w:t>
      </w:r>
      <w:r w:rsidR="00C167FE">
        <w:t>helps prevent oversights</w:t>
      </w:r>
      <w:r w:rsidR="004E6F96">
        <w:t>.</w:t>
      </w:r>
      <w:r w:rsidR="00387B00">
        <w:t xml:space="preserve"> </w:t>
      </w:r>
    </w:p>
    <w:p w14:paraId="1E0B3CCA" w14:textId="74DBF054" w:rsidR="00613A91" w:rsidRDefault="00B552C5" w:rsidP="00D863B2">
      <w:r>
        <w:t>R</w:t>
      </w:r>
      <w:r w:rsidR="00AA4AA6">
        <w:t>ecruit</w:t>
      </w:r>
      <w:r w:rsidR="00F9323E">
        <w:t>ing</w:t>
      </w:r>
      <w:r w:rsidR="00AA4AA6">
        <w:t xml:space="preserve"> </w:t>
      </w:r>
      <w:r w:rsidR="00F9323E">
        <w:t xml:space="preserve">a </w:t>
      </w:r>
      <w:r w:rsidR="006E08C7">
        <w:t>senior executive</w:t>
      </w:r>
      <w:r w:rsidR="00BA3320">
        <w:t xml:space="preserve"> to the decolonization team can </w:t>
      </w:r>
      <w:r w:rsidR="00C40E50">
        <w:t xml:space="preserve">significantly enhance </w:t>
      </w:r>
      <w:r w:rsidR="00BA3320">
        <w:t xml:space="preserve">your </w:t>
      </w:r>
      <w:r w:rsidR="005162E2">
        <w:t>project</w:t>
      </w:r>
      <w:r w:rsidR="00606DCD" w:rsidRPr="005207F2">
        <w:t xml:space="preserve">. </w:t>
      </w:r>
      <w:r w:rsidR="005162E2" w:rsidRPr="000B0614">
        <w:t xml:space="preserve">Their involvement lends credibility and facilitates access to resources necessary for implementation. Additionally, they </w:t>
      </w:r>
      <w:r w:rsidR="00A5655A">
        <w:t>serve</w:t>
      </w:r>
      <w:r w:rsidR="005162E2" w:rsidRPr="000B0614">
        <w:t xml:space="preserve"> as a liaison between the team and hospital administration</w:t>
      </w:r>
      <w:r w:rsidR="002A6CA7">
        <w:t xml:space="preserve">, </w:t>
      </w:r>
      <w:r w:rsidR="00B1255C">
        <w:t>help</w:t>
      </w:r>
      <w:r w:rsidR="002A6CA7">
        <w:t>ing</w:t>
      </w:r>
      <w:r w:rsidR="00B1255C">
        <w:t xml:space="preserve"> </w:t>
      </w:r>
      <w:r w:rsidR="005162E2" w:rsidRPr="000B0614">
        <w:t>to navigate institutional challenges</w:t>
      </w:r>
      <w:r w:rsidR="00B1255C">
        <w:t xml:space="preserve">. </w:t>
      </w:r>
      <w:r w:rsidR="00B363D7" w:rsidRPr="005207F2">
        <w:t xml:space="preserve">The </w:t>
      </w:r>
      <w:r w:rsidR="006E08C7">
        <w:t>senior executive</w:t>
      </w:r>
      <w:r w:rsidR="00B363D7" w:rsidRPr="005207F2">
        <w:t xml:space="preserve"> </w:t>
      </w:r>
      <w:r w:rsidR="00415A27">
        <w:t xml:space="preserve">should be </w:t>
      </w:r>
      <w:r w:rsidR="00B363D7" w:rsidRPr="005207F2">
        <w:t xml:space="preserve">an active </w:t>
      </w:r>
      <w:r w:rsidR="00B363D7">
        <w:t xml:space="preserve">and </w:t>
      </w:r>
      <w:r w:rsidR="00B1255C">
        <w:t xml:space="preserve">engaged </w:t>
      </w:r>
      <w:r w:rsidR="00B363D7" w:rsidRPr="005207F2">
        <w:t>member of the team</w:t>
      </w:r>
      <w:r w:rsidR="00B1255C">
        <w:t xml:space="preserve">. </w:t>
      </w:r>
      <w:r w:rsidR="00606DCD" w:rsidRPr="005207F2">
        <w:t xml:space="preserve">If you are having trouble identifying a senior executive on your own, </w:t>
      </w:r>
      <w:r w:rsidR="00E51B83">
        <w:t xml:space="preserve">reach out to </w:t>
      </w:r>
      <w:r w:rsidR="00606DCD" w:rsidRPr="005207F2">
        <w:t xml:space="preserve">your </w:t>
      </w:r>
      <w:r w:rsidR="00436C1E">
        <w:t xml:space="preserve">hospital’s </w:t>
      </w:r>
      <w:r w:rsidR="00606DCD" w:rsidRPr="005207F2">
        <w:t xml:space="preserve">quality </w:t>
      </w:r>
      <w:r w:rsidR="00436C1E">
        <w:t xml:space="preserve">or leadership </w:t>
      </w:r>
      <w:r w:rsidR="00606DCD" w:rsidRPr="005207F2">
        <w:t xml:space="preserve">office </w:t>
      </w:r>
      <w:r w:rsidR="00E51B83">
        <w:t>for assistance</w:t>
      </w:r>
      <w:r w:rsidR="00606DCD" w:rsidRPr="005207F2">
        <w:t xml:space="preserve">. </w:t>
      </w:r>
    </w:p>
    <w:p w14:paraId="741BF9DD" w14:textId="37BBA5B5" w:rsidR="00336245" w:rsidRDefault="00436C1E" w:rsidP="00336245">
      <w:r>
        <w:t>Engagement is critical to</w:t>
      </w:r>
      <w:r w:rsidR="00C13953">
        <w:t xml:space="preserve"> the</w:t>
      </w:r>
      <w:r>
        <w:t xml:space="preserve"> </w:t>
      </w:r>
      <w:r w:rsidR="00336245">
        <w:t>success</w:t>
      </w:r>
      <w:r>
        <w:t xml:space="preserve"> of any patient safety </w:t>
      </w:r>
      <w:r w:rsidR="00C0372F">
        <w:t>initiative</w:t>
      </w:r>
      <w:r w:rsidR="00336245">
        <w:t xml:space="preserve">. </w:t>
      </w:r>
      <w:r w:rsidR="00C0372F">
        <w:t xml:space="preserve">Cultivate </w:t>
      </w:r>
      <w:r w:rsidR="00336245">
        <w:t>a shared understanding</w:t>
      </w:r>
      <w:r w:rsidR="00C0372F">
        <w:t xml:space="preserve"> </w:t>
      </w:r>
      <w:r w:rsidR="00336245">
        <w:t>among your team members</w:t>
      </w:r>
      <w:r w:rsidR="0013151A">
        <w:t>.</w:t>
      </w:r>
      <w:r w:rsidR="00C0372F">
        <w:t xml:space="preserve"> </w:t>
      </w:r>
      <w:r w:rsidR="0013151A">
        <w:t>E</w:t>
      </w:r>
      <w:r w:rsidR="00C0372F">
        <w:t>nsur</w:t>
      </w:r>
      <w:r w:rsidR="0013151A">
        <w:t>e</w:t>
      </w:r>
      <w:r w:rsidR="00C0372F">
        <w:t xml:space="preserve"> </w:t>
      </w:r>
      <w:r w:rsidR="00336245">
        <w:t xml:space="preserve">that everyone has a role and that every task has someone </w:t>
      </w:r>
      <w:r w:rsidR="002A6CA7">
        <w:t>assigned to it</w:t>
      </w:r>
      <w:r w:rsidR="00336245">
        <w:t xml:space="preserve">. Foster an environment where all team members are encouraged to speak up and </w:t>
      </w:r>
      <w:r w:rsidR="00AB3DCA">
        <w:t>contribute</w:t>
      </w:r>
      <w:r w:rsidR="00336245">
        <w:t>.</w:t>
      </w:r>
    </w:p>
    <w:p w14:paraId="2E36A71D" w14:textId="34D0F143" w:rsidR="009E68E6" w:rsidRDefault="0013151A" w:rsidP="00336245">
      <w:r>
        <w:t>Building and d</w:t>
      </w:r>
      <w:r w:rsidR="00336245">
        <w:t xml:space="preserve">eveloping </w:t>
      </w:r>
      <w:r w:rsidR="00C348AB">
        <w:t>your decolonization</w:t>
      </w:r>
      <w:r w:rsidR="00336245">
        <w:t xml:space="preserve"> team </w:t>
      </w:r>
      <w:r w:rsidR="00C348AB">
        <w:t>is a</w:t>
      </w:r>
      <w:r w:rsidR="000C3AFB">
        <w:t xml:space="preserve"> continuous</w:t>
      </w:r>
      <w:r>
        <w:t>, ongoing</w:t>
      </w:r>
      <w:r w:rsidR="000C3AFB">
        <w:t xml:space="preserve"> </w:t>
      </w:r>
      <w:r w:rsidR="00C348AB">
        <w:t xml:space="preserve">process. </w:t>
      </w:r>
      <w:r>
        <w:t xml:space="preserve">The </w:t>
      </w:r>
      <w:r w:rsidR="00336245">
        <w:t xml:space="preserve">team </w:t>
      </w:r>
      <w:r>
        <w:t xml:space="preserve">should </w:t>
      </w:r>
      <w:r w:rsidR="002A6CA7">
        <w:t>remain</w:t>
      </w:r>
      <w:r>
        <w:t xml:space="preserve"> flexible, </w:t>
      </w:r>
      <w:r w:rsidR="006C2494">
        <w:t xml:space="preserve">adapting </w:t>
      </w:r>
      <w:r w:rsidR="00F34C61">
        <w:t>to feedback</w:t>
      </w:r>
      <w:r w:rsidR="00760CBB">
        <w:t xml:space="preserve"> and </w:t>
      </w:r>
      <w:r w:rsidR="002A6CA7">
        <w:t>challenges</w:t>
      </w:r>
      <w:r w:rsidR="00336245">
        <w:t xml:space="preserve">. </w:t>
      </w:r>
      <w:r w:rsidR="00760CBB">
        <w:t xml:space="preserve">It’s </w:t>
      </w:r>
      <w:r w:rsidR="002A6CA7">
        <w:t xml:space="preserve">advisable </w:t>
      </w:r>
      <w:r w:rsidR="00760CBB">
        <w:t xml:space="preserve">to </w:t>
      </w:r>
      <w:r w:rsidR="00F34C61">
        <w:t xml:space="preserve">welcome </w:t>
      </w:r>
      <w:r w:rsidR="00336245">
        <w:t>newcomers</w:t>
      </w:r>
      <w:r w:rsidR="00760CBB">
        <w:t xml:space="preserve"> and </w:t>
      </w:r>
      <w:r w:rsidR="00902849">
        <w:t xml:space="preserve">keep meetings open </w:t>
      </w:r>
      <w:r w:rsidR="006C2494">
        <w:t xml:space="preserve">for </w:t>
      </w:r>
      <w:r w:rsidR="00902849">
        <w:t xml:space="preserve">all </w:t>
      </w:r>
      <w:r w:rsidR="00336245">
        <w:t xml:space="preserve">who </w:t>
      </w:r>
      <w:r w:rsidR="00760CBB">
        <w:t>are interested.</w:t>
      </w:r>
      <w:r w:rsidR="00760CBB" w:rsidRPr="00760CBB">
        <w:t xml:space="preserve"> </w:t>
      </w:r>
      <w:r w:rsidR="00760CBB">
        <w:t>Sustaining team engagement</w:t>
      </w:r>
      <w:r w:rsidR="00633854">
        <w:t xml:space="preserve"> </w:t>
      </w:r>
      <w:r w:rsidR="00D85EFF">
        <w:t>is vital for</w:t>
      </w:r>
      <w:r w:rsidR="00C13953">
        <w:t xml:space="preserve"> the</w:t>
      </w:r>
      <w:r w:rsidR="00D85EFF">
        <w:t xml:space="preserve"> long-term success of</w:t>
      </w:r>
      <w:r w:rsidR="00633854">
        <w:t xml:space="preserve"> your decolonization program.</w:t>
      </w:r>
    </w:p>
    <w:p w14:paraId="178A584F" w14:textId="77777777" w:rsidR="00613A91" w:rsidRPr="005207F2" w:rsidRDefault="00613A91">
      <w:pPr>
        <w:spacing w:after="0" w:line="240" w:lineRule="auto"/>
      </w:pPr>
      <w:r w:rsidRPr="005207F2">
        <w:br w:type="page"/>
      </w:r>
    </w:p>
    <w:p w14:paraId="2847CC16" w14:textId="77777777" w:rsidR="00D55D6E" w:rsidRPr="005207F2" w:rsidRDefault="00D55D6E" w:rsidP="00116E08">
      <w:pPr>
        <w:pStyle w:val="Heading2"/>
      </w:pPr>
      <w:r w:rsidRPr="005207F2">
        <w:lastRenderedPageBreak/>
        <w:t>References</w:t>
      </w:r>
    </w:p>
    <w:p w14:paraId="265075EE" w14:textId="77777777" w:rsidR="00D55D6E" w:rsidRPr="005207F2" w:rsidRDefault="00D55D6E" w:rsidP="005128AB">
      <w:pPr>
        <w:numPr>
          <w:ilvl w:val="0"/>
          <w:numId w:val="21"/>
        </w:numPr>
        <w:spacing w:after="60" w:line="240" w:lineRule="auto"/>
        <w:ind w:left="360"/>
        <w:rPr>
          <w:rFonts w:cstheme="minorHAnsi"/>
          <w:sz w:val="20"/>
          <w:szCs w:val="20"/>
        </w:rPr>
      </w:pPr>
      <w:r w:rsidRPr="005207F2">
        <w:rPr>
          <w:rFonts w:cstheme="minorHAnsi"/>
          <w:sz w:val="20"/>
          <w:szCs w:val="20"/>
        </w:rPr>
        <w:t>Vernon MO, Hayden MK, Trick WE, et al. Chlorhexidine gluconate to cleanse patients in a medical intensive care unit: the effectiveness of source control to reduce the bioburden of vancomycin-resistant enterococci. Arch Intern Med. 2006 Feb 13;166(3):306-12. PMID: 16476870.</w:t>
      </w:r>
    </w:p>
    <w:p w14:paraId="77C8FABB" w14:textId="77777777" w:rsidR="00D55D6E" w:rsidRPr="005207F2" w:rsidRDefault="00D55D6E" w:rsidP="005128AB">
      <w:pPr>
        <w:numPr>
          <w:ilvl w:val="0"/>
          <w:numId w:val="21"/>
        </w:numPr>
        <w:spacing w:after="60" w:line="240" w:lineRule="auto"/>
        <w:ind w:left="360"/>
        <w:rPr>
          <w:rFonts w:cstheme="minorHAnsi"/>
          <w:sz w:val="20"/>
          <w:szCs w:val="20"/>
        </w:rPr>
      </w:pPr>
      <w:proofErr w:type="spellStart"/>
      <w:r w:rsidRPr="005207F2">
        <w:rPr>
          <w:rFonts w:cstheme="minorHAnsi"/>
          <w:sz w:val="20"/>
          <w:szCs w:val="20"/>
        </w:rPr>
        <w:t>Climo</w:t>
      </w:r>
      <w:proofErr w:type="spellEnd"/>
      <w:r w:rsidRPr="005207F2">
        <w:rPr>
          <w:rFonts w:cstheme="minorHAnsi"/>
          <w:sz w:val="20"/>
          <w:szCs w:val="20"/>
        </w:rPr>
        <w:t xml:space="preserve"> MW, </w:t>
      </w:r>
      <w:proofErr w:type="spellStart"/>
      <w:r w:rsidRPr="005207F2">
        <w:rPr>
          <w:rFonts w:cstheme="minorHAnsi"/>
          <w:sz w:val="20"/>
          <w:szCs w:val="20"/>
        </w:rPr>
        <w:t>Sepkowitz</w:t>
      </w:r>
      <w:proofErr w:type="spellEnd"/>
      <w:r w:rsidRPr="005207F2">
        <w:rPr>
          <w:rFonts w:cstheme="minorHAnsi"/>
          <w:sz w:val="20"/>
          <w:szCs w:val="20"/>
        </w:rPr>
        <w:t xml:space="preserve"> KA, Zuccotti G, et al. The effect of daily bathing with chlorhexidine on the acquisition of methicillin-resistant </w:t>
      </w:r>
      <w:r w:rsidRPr="005207F2">
        <w:rPr>
          <w:rFonts w:cstheme="minorHAnsi"/>
          <w:i/>
          <w:iCs/>
          <w:sz w:val="20"/>
          <w:szCs w:val="20"/>
        </w:rPr>
        <w:t>Staphylococcus aureus</w:t>
      </w:r>
      <w:r w:rsidRPr="005207F2">
        <w:rPr>
          <w:rFonts w:cstheme="minorHAnsi"/>
          <w:sz w:val="20"/>
          <w:szCs w:val="20"/>
        </w:rPr>
        <w:t>, vancomycin-resistant Enterococcus, and healthcare-associated bloodstream infections: results of a quasi-experimental multicenter trial. Crit Care Med. 2009 Jun;37(6):1858-65. PMID: 19384220.</w:t>
      </w:r>
    </w:p>
    <w:p w14:paraId="7447DEE0" w14:textId="77777777" w:rsidR="00D55D6E" w:rsidRPr="005207F2" w:rsidRDefault="00D55D6E" w:rsidP="005128AB">
      <w:pPr>
        <w:numPr>
          <w:ilvl w:val="0"/>
          <w:numId w:val="21"/>
        </w:numPr>
        <w:spacing w:after="60" w:line="240" w:lineRule="auto"/>
        <w:ind w:left="360"/>
        <w:rPr>
          <w:rFonts w:cstheme="minorHAnsi"/>
          <w:sz w:val="20"/>
          <w:szCs w:val="20"/>
        </w:rPr>
      </w:pPr>
      <w:r w:rsidRPr="005207F2">
        <w:rPr>
          <w:rFonts w:cstheme="minorHAnsi"/>
          <w:sz w:val="20"/>
          <w:szCs w:val="20"/>
        </w:rPr>
        <w:t>Bleasdale SC, Trick WE, Gonzalez IM, et al. Effectiveness of chlorhexidine bathing to reduce catheter-associated bloodstream infections in medical intensive care unit patients. Arch Intern Med. 2007 Oct 22;167(19):2073-9. PMID: 17954801.</w:t>
      </w:r>
    </w:p>
    <w:p w14:paraId="043E3CD4" w14:textId="3EE9521F" w:rsidR="00D55D6E" w:rsidRPr="005207F2" w:rsidRDefault="00D55D6E" w:rsidP="005128AB">
      <w:pPr>
        <w:numPr>
          <w:ilvl w:val="0"/>
          <w:numId w:val="21"/>
        </w:numPr>
        <w:spacing w:after="60" w:line="240" w:lineRule="auto"/>
        <w:ind w:left="360"/>
        <w:rPr>
          <w:rFonts w:cstheme="minorHAnsi"/>
          <w:sz w:val="20"/>
          <w:szCs w:val="20"/>
        </w:rPr>
      </w:pPr>
      <w:r w:rsidRPr="005207F2">
        <w:rPr>
          <w:rFonts w:cstheme="minorHAnsi"/>
          <w:sz w:val="20"/>
          <w:szCs w:val="20"/>
        </w:rPr>
        <w:t xml:space="preserve">Popovich KJ, Hota B, Hayes R, </w:t>
      </w:r>
      <w:r w:rsidR="00CD6A1A">
        <w:rPr>
          <w:rFonts w:cstheme="minorHAnsi"/>
          <w:sz w:val="20"/>
          <w:szCs w:val="20"/>
        </w:rPr>
        <w:t>et al</w:t>
      </w:r>
      <w:r w:rsidRPr="005207F2">
        <w:rPr>
          <w:rFonts w:cstheme="minorHAnsi"/>
          <w:sz w:val="20"/>
          <w:szCs w:val="20"/>
        </w:rPr>
        <w:t>. Effectiveness of routine patient cleansing with chlorhexidine gluconate for infection prevention in the medical intensive care unit. Infect Control Hosp Epidemiol. 2009 Oct;30(10):959-63. PMID: 19712033.</w:t>
      </w:r>
    </w:p>
    <w:p w14:paraId="62B03175" w14:textId="77777777" w:rsidR="00D55D6E" w:rsidRPr="005207F2" w:rsidRDefault="00D55D6E" w:rsidP="005128AB">
      <w:pPr>
        <w:numPr>
          <w:ilvl w:val="0"/>
          <w:numId w:val="21"/>
        </w:numPr>
        <w:spacing w:after="60" w:line="240" w:lineRule="auto"/>
        <w:ind w:left="360"/>
        <w:rPr>
          <w:rFonts w:cstheme="minorHAnsi"/>
          <w:sz w:val="20"/>
          <w:szCs w:val="20"/>
        </w:rPr>
      </w:pPr>
      <w:proofErr w:type="spellStart"/>
      <w:r w:rsidRPr="005207F2">
        <w:rPr>
          <w:rFonts w:cstheme="minorHAnsi"/>
          <w:sz w:val="20"/>
          <w:szCs w:val="20"/>
        </w:rPr>
        <w:t>Climo</w:t>
      </w:r>
      <w:proofErr w:type="spellEnd"/>
      <w:r w:rsidRPr="005207F2">
        <w:rPr>
          <w:rFonts w:cstheme="minorHAnsi"/>
          <w:sz w:val="20"/>
          <w:szCs w:val="20"/>
        </w:rPr>
        <w:t xml:space="preserve"> MW, </w:t>
      </w:r>
      <w:proofErr w:type="spellStart"/>
      <w:r w:rsidRPr="005207F2">
        <w:rPr>
          <w:rFonts w:cstheme="minorHAnsi"/>
          <w:sz w:val="20"/>
          <w:szCs w:val="20"/>
        </w:rPr>
        <w:t>Yokoe</w:t>
      </w:r>
      <w:proofErr w:type="spellEnd"/>
      <w:r w:rsidRPr="005207F2">
        <w:rPr>
          <w:rFonts w:cstheme="minorHAnsi"/>
          <w:sz w:val="20"/>
          <w:szCs w:val="20"/>
        </w:rPr>
        <w:t xml:space="preserve"> DS, Warren DK, et al. Effect of daily chlorhexidine bathing on hospital-acquired infection. N Engl J Med. 2013 Feb 7;368(6):533-42. PMID: 23388005.</w:t>
      </w:r>
    </w:p>
    <w:p w14:paraId="1C66484C" w14:textId="77777777" w:rsidR="00D55D6E" w:rsidRPr="005207F2" w:rsidRDefault="00D55D6E" w:rsidP="005128AB">
      <w:pPr>
        <w:numPr>
          <w:ilvl w:val="0"/>
          <w:numId w:val="21"/>
        </w:numPr>
        <w:spacing w:after="60" w:line="240" w:lineRule="auto"/>
        <w:ind w:left="360"/>
        <w:rPr>
          <w:rFonts w:cstheme="minorHAnsi"/>
          <w:sz w:val="20"/>
          <w:szCs w:val="20"/>
        </w:rPr>
      </w:pPr>
      <w:proofErr w:type="spellStart"/>
      <w:r w:rsidRPr="005207F2">
        <w:rPr>
          <w:rFonts w:cstheme="minorHAnsi"/>
          <w:sz w:val="20"/>
          <w:szCs w:val="20"/>
        </w:rPr>
        <w:t>Milstone</w:t>
      </w:r>
      <w:proofErr w:type="spellEnd"/>
      <w:r w:rsidRPr="005207F2">
        <w:rPr>
          <w:rFonts w:cstheme="minorHAnsi"/>
          <w:sz w:val="20"/>
          <w:szCs w:val="20"/>
        </w:rPr>
        <w:t xml:space="preserve"> AM, </w:t>
      </w:r>
      <w:proofErr w:type="spellStart"/>
      <w:r w:rsidRPr="005207F2">
        <w:rPr>
          <w:rFonts w:cstheme="minorHAnsi"/>
          <w:sz w:val="20"/>
          <w:szCs w:val="20"/>
        </w:rPr>
        <w:t>Elward</w:t>
      </w:r>
      <w:proofErr w:type="spellEnd"/>
      <w:r w:rsidRPr="005207F2">
        <w:rPr>
          <w:rFonts w:cstheme="minorHAnsi"/>
          <w:sz w:val="20"/>
          <w:szCs w:val="20"/>
        </w:rPr>
        <w:t xml:space="preserve"> A, Song X, et al. Daily chlorhexidine bathing to reduce </w:t>
      </w:r>
      <w:proofErr w:type="spellStart"/>
      <w:r w:rsidRPr="005207F2">
        <w:rPr>
          <w:rFonts w:cstheme="minorHAnsi"/>
          <w:sz w:val="20"/>
          <w:szCs w:val="20"/>
        </w:rPr>
        <w:t>bacteraemia</w:t>
      </w:r>
      <w:proofErr w:type="spellEnd"/>
      <w:r w:rsidRPr="005207F2">
        <w:rPr>
          <w:rFonts w:cstheme="minorHAnsi"/>
          <w:sz w:val="20"/>
          <w:szCs w:val="20"/>
        </w:rPr>
        <w:t xml:space="preserve"> in critically ill children: a </w:t>
      </w:r>
      <w:proofErr w:type="spellStart"/>
      <w:r w:rsidRPr="005207F2">
        <w:rPr>
          <w:rFonts w:cstheme="minorHAnsi"/>
          <w:sz w:val="20"/>
          <w:szCs w:val="20"/>
        </w:rPr>
        <w:t>multicentre</w:t>
      </w:r>
      <w:proofErr w:type="spellEnd"/>
      <w:r w:rsidRPr="005207F2">
        <w:rPr>
          <w:rFonts w:cstheme="minorHAnsi"/>
          <w:sz w:val="20"/>
          <w:szCs w:val="20"/>
        </w:rPr>
        <w:t>, cluster-</w:t>
      </w:r>
      <w:proofErr w:type="spellStart"/>
      <w:r w:rsidRPr="005207F2">
        <w:rPr>
          <w:rFonts w:cstheme="minorHAnsi"/>
          <w:sz w:val="20"/>
          <w:szCs w:val="20"/>
        </w:rPr>
        <w:t>randomised</w:t>
      </w:r>
      <w:proofErr w:type="spellEnd"/>
      <w:r w:rsidRPr="005207F2">
        <w:rPr>
          <w:rFonts w:cstheme="minorHAnsi"/>
          <w:sz w:val="20"/>
          <w:szCs w:val="20"/>
        </w:rPr>
        <w:t>, crossover trial. Lancet. 2013 Mar 30;381(9872):1099-106. PMID: 23363666.</w:t>
      </w:r>
    </w:p>
    <w:p w14:paraId="1AF04994" w14:textId="77777777" w:rsidR="00D55D6E" w:rsidRPr="005207F2" w:rsidRDefault="00D55D6E" w:rsidP="005128AB">
      <w:pPr>
        <w:numPr>
          <w:ilvl w:val="0"/>
          <w:numId w:val="21"/>
        </w:numPr>
        <w:spacing w:after="60" w:line="240" w:lineRule="auto"/>
        <w:ind w:left="360"/>
        <w:rPr>
          <w:rFonts w:cstheme="minorHAnsi"/>
          <w:sz w:val="20"/>
          <w:szCs w:val="20"/>
        </w:rPr>
      </w:pPr>
      <w:r w:rsidRPr="005207F2">
        <w:rPr>
          <w:rFonts w:cstheme="minorHAnsi"/>
          <w:sz w:val="20"/>
          <w:szCs w:val="20"/>
        </w:rPr>
        <w:t>Huang SS, Septimus E, Kleinman K, et al. Targeted versus universal decolonization to prevent ICU infection. N Engl J Med. 2013 Jun 13;368(24):2255-65. PMID: 23718152.</w:t>
      </w:r>
    </w:p>
    <w:p w14:paraId="5A163683" w14:textId="03EDD268" w:rsidR="00CD6A1A" w:rsidRPr="00CD6A1A" w:rsidRDefault="00CD6A1A" w:rsidP="00CD6A1A">
      <w:pPr>
        <w:numPr>
          <w:ilvl w:val="0"/>
          <w:numId w:val="21"/>
        </w:numPr>
        <w:spacing w:after="60" w:line="240" w:lineRule="auto"/>
        <w:ind w:left="360"/>
        <w:rPr>
          <w:rFonts w:cstheme="minorHAnsi"/>
          <w:sz w:val="20"/>
          <w:szCs w:val="20"/>
        </w:rPr>
      </w:pPr>
      <w:r w:rsidRPr="00CD6A1A">
        <w:rPr>
          <w:rFonts w:cstheme="minorHAnsi"/>
          <w:sz w:val="20"/>
          <w:szCs w:val="20"/>
        </w:rPr>
        <w:t xml:space="preserve">Huang SS, Septimus E, Kleinman K, </w:t>
      </w:r>
      <w:r w:rsidRPr="005207F2">
        <w:rPr>
          <w:rFonts w:cstheme="minorHAnsi"/>
          <w:sz w:val="20"/>
          <w:szCs w:val="20"/>
        </w:rPr>
        <w:t>et al. Chlorhexidine versus routine bathing to prevent multidrug-resistant organisms and all-cause bloodstream infections in general medical and surgical units (ABATE Infection trial): a cluster-</w:t>
      </w:r>
      <w:proofErr w:type="spellStart"/>
      <w:r w:rsidRPr="005207F2">
        <w:rPr>
          <w:rFonts w:cstheme="minorHAnsi"/>
          <w:sz w:val="20"/>
          <w:szCs w:val="20"/>
        </w:rPr>
        <w:t>randomised</w:t>
      </w:r>
      <w:proofErr w:type="spellEnd"/>
      <w:r w:rsidRPr="005207F2">
        <w:rPr>
          <w:rFonts w:cstheme="minorHAnsi"/>
          <w:sz w:val="20"/>
          <w:szCs w:val="20"/>
        </w:rPr>
        <w:t xml:space="preserve"> trial. Lancet. 2019 Mar 23;393(10177):1205-1215. PMID: 30850112.</w:t>
      </w:r>
    </w:p>
    <w:p w14:paraId="0F436E90" w14:textId="2E12C53B" w:rsidR="00D55D6E" w:rsidRPr="005207F2" w:rsidRDefault="00D55D6E" w:rsidP="005128AB">
      <w:pPr>
        <w:numPr>
          <w:ilvl w:val="0"/>
          <w:numId w:val="21"/>
        </w:numPr>
        <w:spacing w:after="60" w:line="240" w:lineRule="auto"/>
        <w:ind w:left="360"/>
        <w:rPr>
          <w:rFonts w:cstheme="minorHAnsi"/>
          <w:sz w:val="20"/>
          <w:szCs w:val="20"/>
        </w:rPr>
      </w:pPr>
      <w:r w:rsidRPr="005207F2">
        <w:rPr>
          <w:rFonts w:cstheme="minorHAnsi"/>
          <w:sz w:val="20"/>
          <w:szCs w:val="20"/>
        </w:rPr>
        <w:t xml:space="preserve">Centers for Disease Control and Prevention. NHSN Patient Safety Component: Bloodstream Infection (BSI) Events. </w:t>
      </w:r>
      <w:hyperlink r:id="rId23" w:history="1">
        <w:r w:rsidRPr="005207F2">
          <w:rPr>
            <w:rStyle w:val="Hyperlink"/>
            <w:rFonts w:cstheme="minorHAnsi"/>
            <w:sz w:val="20"/>
            <w:szCs w:val="20"/>
          </w:rPr>
          <w:t>https://www.cdc.gov/nhsn/psc/bsi/index.html</w:t>
        </w:r>
      </w:hyperlink>
      <w:r w:rsidRPr="005207F2">
        <w:rPr>
          <w:rFonts w:cstheme="minorHAnsi"/>
          <w:sz w:val="20"/>
          <w:szCs w:val="20"/>
        </w:rPr>
        <w:t>. Accessed March 2, 202</w:t>
      </w:r>
      <w:r w:rsidR="00387819" w:rsidRPr="005207F2">
        <w:rPr>
          <w:rFonts w:cstheme="minorHAnsi"/>
          <w:sz w:val="20"/>
          <w:szCs w:val="20"/>
        </w:rPr>
        <w:t>4</w:t>
      </w:r>
      <w:r w:rsidRPr="005207F2">
        <w:rPr>
          <w:rFonts w:cstheme="minorHAnsi"/>
          <w:sz w:val="20"/>
          <w:szCs w:val="20"/>
        </w:rPr>
        <w:t xml:space="preserve">. </w:t>
      </w:r>
    </w:p>
    <w:p w14:paraId="28F53BD8" w14:textId="6C4E8410" w:rsidR="00D55D6E" w:rsidRPr="005207F2" w:rsidRDefault="00D55D6E" w:rsidP="005128AB">
      <w:pPr>
        <w:numPr>
          <w:ilvl w:val="0"/>
          <w:numId w:val="21"/>
        </w:numPr>
        <w:spacing w:after="60" w:line="240" w:lineRule="auto"/>
        <w:ind w:left="360"/>
        <w:rPr>
          <w:rFonts w:cstheme="minorHAnsi"/>
          <w:sz w:val="20"/>
          <w:szCs w:val="20"/>
        </w:rPr>
      </w:pPr>
      <w:bookmarkStart w:id="0" w:name="apbref7"/>
      <w:bookmarkEnd w:id="0"/>
      <w:r w:rsidRPr="005207F2">
        <w:rPr>
          <w:rFonts w:cstheme="minorHAnsi"/>
          <w:sz w:val="20"/>
          <w:szCs w:val="20"/>
        </w:rPr>
        <w:t xml:space="preserve">Centers for Disease Control and Prevention. Bloodstream infection event (central line-associated bloodstream infection and non-central line associated bloodstream infection). In: National Healthcare Safety Network (NHSN) Patient Safety Component Manual. Atlanta, GA: Centers for Disease Control and Prevention; January 2022: chapter 4. </w:t>
      </w:r>
      <w:hyperlink r:id="rId24" w:history="1">
        <w:r w:rsidRPr="005207F2">
          <w:rPr>
            <w:rStyle w:val="Hyperlink"/>
            <w:rFonts w:cstheme="minorHAnsi"/>
            <w:sz w:val="20"/>
            <w:szCs w:val="20"/>
          </w:rPr>
          <w:t>http://www.cdc.gov/nhsn/pdfs/pscmanual/4psc_clabscurrent.pdf</w:t>
        </w:r>
      </w:hyperlink>
      <w:r w:rsidRPr="005207F2">
        <w:rPr>
          <w:rFonts w:cstheme="minorHAnsi"/>
          <w:sz w:val="20"/>
          <w:szCs w:val="20"/>
        </w:rPr>
        <w:t>. Accessed March 2, 202</w:t>
      </w:r>
      <w:r w:rsidR="00DE4BC8" w:rsidRPr="005207F2">
        <w:rPr>
          <w:rFonts w:cstheme="minorHAnsi"/>
          <w:sz w:val="20"/>
          <w:szCs w:val="20"/>
        </w:rPr>
        <w:t>4</w:t>
      </w:r>
      <w:r w:rsidRPr="005207F2">
        <w:rPr>
          <w:rFonts w:cstheme="minorHAnsi"/>
          <w:sz w:val="20"/>
          <w:szCs w:val="20"/>
        </w:rPr>
        <w:t>.</w:t>
      </w:r>
    </w:p>
    <w:p w14:paraId="6305836A" w14:textId="77777777" w:rsidR="00D55D6E" w:rsidRPr="005207F2" w:rsidRDefault="00D55D6E" w:rsidP="005128AB">
      <w:pPr>
        <w:numPr>
          <w:ilvl w:val="0"/>
          <w:numId w:val="21"/>
        </w:numPr>
        <w:spacing w:after="60" w:line="240" w:lineRule="auto"/>
        <w:ind w:left="360"/>
        <w:rPr>
          <w:rFonts w:cstheme="minorHAnsi"/>
          <w:sz w:val="20"/>
          <w:szCs w:val="20"/>
        </w:rPr>
      </w:pPr>
      <w:bookmarkStart w:id="1" w:name="apbref8"/>
      <w:bookmarkEnd w:id="1"/>
      <w:r w:rsidRPr="005207F2">
        <w:rPr>
          <w:rFonts w:cstheme="minorHAnsi"/>
          <w:sz w:val="20"/>
          <w:szCs w:val="20"/>
        </w:rPr>
        <w:t>Perencevich EN, Stone PW, Wright SB, et al. Raising standards while watching the bottom line: making a business case for infection control. Infect Control Hosp Epidemiol. 2007 Oct;28(10):1121-33. PMID: 17933084.</w:t>
      </w:r>
    </w:p>
    <w:p w14:paraId="658F7151" w14:textId="77777777" w:rsidR="00D55D6E" w:rsidRPr="005207F2" w:rsidRDefault="00D55D6E" w:rsidP="005128AB">
      <w:pPr>
        <w:numPr>
          <w:ilvl w:val="0"/>
          <w:numId w:val="21"/>
        </w:numPr>
        <w:spacing w:after="60" w:line="240" w:lineRule="auto"/>
        <w:ind w:left="360"/>
        <w:rPr>
          <w:rFonts w:cstheme="minorHAnsi"/>
          <w:sz w:val="20"/>
          <w:szCs w:val="20"/>
        </w:rPr>
      </w:pPr>
      <w:r w:rsidRPr="005207F2">
        <w:rPr>
          <w:rFonts w:cstheme="minorHAnsi"/>
          <w:sz w:val="20"/>
          <w:szCs w:val="20"/>
        </w:rPr>
        <w:t>Roberts RR, Scott RD II, Hota B, et al. Costs attributable to healthcare-acquired infection in hospitalized adults and a comparison of economic methods. Med Care. 2010 Nov;48(11):1026-35. PMID: 20940650.</w:t>
      </w:r>
    </w:p>
    <w:p w14:paraId="0AD95F19" w14:textId="77777777" w:rsidR="00DD06E9" w:rsidRPr="005207F2" w:rsidRDefault="00DD06E9" w:rsidP="00DD06E9">
      <w:pPr>
        <w:numPr>
          <w:ilvl w:val="0"/>
          <w:numId w:val="21"/>
        </w:numPr>
        <w:spacing w:after="60" w:line="240" w:lineRule="auto"/>
        <w:ind w:left="360"/>
        <w:rPr>
          <w:rFonts w:cstheme="minorHAnsi"/>
          <w:sz w:val="20"/>
        </w:rPr>
      </w:pPr>
      <w:r w:rsidRPr="005207F2">
        <w:rPr>
          <w:rFonts w:cstheme="minorHAnsi"/>
          <w:sz w:val="20"/>
        </w:rPr>
        <w:t xml:space="preserve">Scott RD II, National Center for Preparedness, Detection, and Control of Infectious Diseases (U.S.). Division of Healthcare Quality Promotion. The Direct Medical Costs of Healthcare-Associated Infections in U.S. Hospitals and the Benefits of Prevention (Publication number CS200891-A). Atlanta, GA: Centers for Disease Control and Prevention; March 2009. </w:t>
      </w:r>
      <w:hyperlink r:id="rId25" w:history="1">
        <w:r w:rsidRPr="005207F2">
          <w:rPr>
            <w:rStyle w:val="Hyperlink"/>
            <w:rFonts w:cstheme="minorHAnsi"/>
            <w:sz w:val="20"/>
          </w:rPr>
          <w:t>https://stacks.cdc.gov/view/cdc/11550</w:t>
        </w:r>
      </w:hyperlink>
      <w:r w:rsidRPr="005207F2">
        <w:rPr>
          <w:rFonts w:cstheme="minorHAnsi"/>
          <w:sz w:val="20"/>
        </w:rPr>
        <w:t>. Accessed February 6, 2024.</w:t>
      </w:r>
      <w:r w:rsidRPr="005207F2" w:rsidDel="00025289">
        <w:rPr>
          <w:rFonts w:cstheme="minorHAnsi"/>
          <w:sz w:val="20"/>
        </w:rPr>
        <w:t xml:space="preserve"> </w:t>
      </w:r>
    </w:p>
    <w:p w14:paraId="1E522705" w14:textId="77777777" w:rsidR="00D55D6E" w:rsidRPr="005207F2" w:rsidRDefault="00D55D6E" w:rsidP="005128AB">
      <w:pPr>
        <w:numPr>
          <w:ilvl w:val="0"/>
          <w:numId w:val="21"/>
        </w:numPr>
        <w:spacing w:after="60" w:line="240" w:lineRule="auto"/>
        <w:ind w:left="360"/>
        <w:rPr>
          <w:rFonts w:cstheme="minorHAnsi"/>
          <w:sz w:val="20"/>
          <w:szCs w:val="20"/>
        </w:rPr>
      </w:pPr>
      <w:r w:rsidRPr="005207F2">
        <w:rPr>
          <w:rFonts w:cstheme="minorHAnsi"/>
          <w:sz w:val="20"/>
          <w:szCs w:val="20"/>
        </w:rPr>
        <w:t xml:space="preserve">Warren DK, Quadir WW, </w:t>
      </w:r>
      <w:proofErr w:type="spellStart"/>
      <w:r w:rsidRPr="005207F2">
        <w:rPr>
          <w:rFonts w:cstheme="minorHAnsi"/>
          <w:sz w:val="20"/>
          <w:szCs w:val="20"/>
        </w:rPr>
        <w:t>Hollenbeak</w:t>
      </w:r>
      <w:proofErr w:type="spellEnd"/>
      <w:r w:rsidRPr="005207F2">
        <w:rPr>
          <w:rFonts w:cstheme="minorHAnsi"/>
          <w:sz w:val="20"/>
          <w:szCs w:val="20"/>
        </w:rPr>
        <w:t xml:space="preserve"> CS, et al. Attributable cost of catheter-associated bloodstream infections among intensive care patients in a nonteaching hospital. Crit Care Med. 2006 Aug;34(8):2084-9. PMID: 16763511.</w:t>
      </w:r>
    </w:p>
    <w:p w14:paraId="50AFB572" w14:textId="16AFA6A0" w:rsidR="00D55D6E" w:rsidRPr="005207F2" w:rsidRDefault="00D55D6E" w:rsidP="005128AB">
      <w:pPr>
        <w:numPr>
          <w:ilvl w:val="0"/>
          <w:numId w:val="21"/>
        </w:numPr>
        <w:spacing w:after="60" w:line="240" w:lineRule="auto"/>
        <w:ind w:left="360"/>
        <w:rPr>
          <w:rFonts w:cstheme="minorHAnsi"/>
          <w:sz w:val="20"/>
          <w:szCs w:val="20"/>
        </w:rPr>
      </w:pPr>
      <w:r w:rsidRPr="005207F2">
        <w:rPr>
          <w:rFonts w:cstheme="minorHAnsi"/>
          <w:sz w:val="20"/>
          <w:szCs w:val="20"/>
        </w:rPr>
        <w:t>Roberts RR, Scott RD II, Cordell R, et al. The use of economic modeling to determine the hospital costs associated with nosocomial infections. Clin Infect Dis. 2003 Jun 1;36(11):1424-32. PMID: 12766838.</w:t>
      </w:r>
    </w:p>
    <w:p w14:paraId="666B0C6A" w14:textId="2E358001" w:rsidR="00876E9F" w:rsidRPr="005207F2" w:rsidRDefault="00876E9F" w:rsidP="005128AB">
      <w:pPr>
        <w:numPr>
          <w:ilvl w:val="0"/>
          <w:numId w:val="21"/>
        </w:numPr>
        <w:spacing w:after="60" w:line="240" w:lineRule="auto"/>
        <w:ind w:left="360"/>
        <w:rPr>
          <w:rFonts w:cstheme="minorHAnsi"/>
          <w:sz w:val="20"/>
          <w:szCs w:val="20"/>
        </w:rPr>
      </w:pPr>
      <w:r w:rsidRPr="005207F2">
        <w:rPr>
          <w:rFonts w:cstheme="minorHAnsi"/>
          <w:sz w:val="20"/>
          <w:szCs w:val="20"/>
        </w:rPr>
        <w:t>Zhang HL, Crane L, Cromer AL, et al. A 7-year analysis of attributable costs of healthcare-associated infections in a network of community hospitals in the southeastern United States. Infect Control Hosp Epidemiol. 2024 Jan;45(1):103-5. PMID: 37589089.</w:t>
      </w:r>
    </w:p>
    <w:p w14:paraId="5F1E8CAA" w14:textId="61B98D72" w:rsidR="001261C1" w:rsidRPr="005207F2" w:rsidRDefault="001261C1" w:rsidP="001261C1">
      <w:pPr>
        <w:numPr>
          <w:ilvl w:val="0"/>
          <w:numId w:val="21"/>
        </w:numPr>
        <w:spacing w:after="60" w:line="240" w:lineRule="auto"/>
        <w:ind w:left="360"/>
        <w:rPr>
          <w:rFonts w:cstheme="minorHAnsi"/>
          <w:sz w:val="20"/>
        </w:rPr>
      </w:pPr>
      <w:bookmarkStart w:id="2" w:name="apbref12"/>
      <w:bookmarkStart w:id="3" w:name="apbref13"/>
      <w:bookmarkStart w:id="4" w:name="apbref14"/>
      <w:bookmarkStart w:id="5" w:name="apbref15"/>
      <w:bookmarkStart w:id="6" w:name="apbref16"/>
      <w:bookmarkStart w:id="7" w:name="apbref17"/>
      <w:bookmarkStart w:id="8" w:name="apbref18"/>
      <w:bookmarkEnd w:id="2"/>
      <w:bookmarkEnd w:id="3"/>
      <w:bookmarkEnd w:id="4"/>
      <w:bookmarkEnd w:id="5"/>
      <w:bookmarkEnd w:id="6"/>
      <w:bookmarkEnd w:id="7"/>
      <w:bookmarkEnd w:id="8"/>
      <w:r w:rsidRPr="005207F2">
        <w:rPr>
          <w:rFonts w:cstheme="minorHAnsi"/>
          <w:sz w:val="20"/>
        </w:rPr>
        <w:t xml:space="preserve">CDC Healthcare Infection Control Practices Advisory Committee (HICPAC). Guidelines Library, Infection Control. Last reviewed: September 2, 2020. </w:t>
      </w:r>
      <w:hyperlink r:id="rId26" w:history="1">
        <w:r w:rsidRPr="005207F2">
          <w:rPr>
            <w:rStyle w:val="Hyperlink"/>
            <w:rFonts w:cstheme="minorHAnsi"/>
            <w:sz w:val="20"/>
          </w:rPr>
          <w:t>https://www.cdc.gov/infectioncontrol/guidelines/index.html</w:t>
        </w:r>
      </w:hyperlink>
      <w:r w:rsidRPr="005207F2">
        <w:rPr>
          <w:rFonts w:cstheme="minorHAnsi"/>
          <w:sz w:val="20"/>
        </w:rPr>
        <w:t>. Accessed February 6, 2024.</w:t>
      </w:r>
    </w:p>
    <w:p w14:paraId="32074388" w14:textId="77777777" w:rsidR="001261C1" w:rsidRPr="005207F2" w:rsidRDefault="001261C1" w:rsidP="001261C1">
      <w:pPr>
        <w:numPr>
          <w:ilvl w:val="0"/>
          <w:numId w:val="21"/>
        </w:numPr>
        <w:spacing w:after="60" w:line="240" w:lineRule="auto"/>
        <w:ind w:left="360"/>
        <w:rPr>
          <w:rFonts w:cstheme="minorHAnsi"/>
          <w:sz w:val="20"/>
        </w:rPr>
      </w:pPr>
      <w:bookmarkStart w:id="9" w:name="apbref9"/>
      <w:bookmarkEnd w:id="9"/>
      <w:r w:rsidRPr="005207F2">
        <w:rPr>
          <w:rFonts w:cstheme="minorHAnsi"/>
          <w:sz w:val="20"/>
        </w:rPr>
        <w:t xml:space="preserve">Society for Healthcare Epidemiology of America (SHEA). SHEA Guidelines and Expert Guidance Documents. Updated 2024. </w:t>
      </w:r>
      <w:hyperlink r:id="rId27" w:history="1">
        <w:r w:rsidRPr="005207F2">
          <w:rPr>
            <w:rStyle w:val="Hyperlink"/>
            <w:rFonts w:cstheme="minorHAnsi"/>
            <w:sz w:val="20"/>
          </w:rPr>
          <w:t>https://shea-online.org/guidance/</w:t>
        </w:r>
      </w:hyperlink>
      <w:r w:rsidRPr="005207F2">
        <w:rPr>
          <w:rFonts w:cstheme="minorHAnsi"/>
          <w:sz w:val="20"/>
        </w:rPr>
        <w:t>. Accessed February 6, 2024.</w:t>
      </w:r>
    </w:p>
    <w:p w14:paraId="5BB686DB" w14:textId="77777777" w:rsidR="001261C1" w:rsidRPr="005207F2" w:rsidRDefault="001261C1" w:rsidP="001261C1">
      <w:pPr>
        <w:numPr>
          <w:ilvl w:val="0"/>
          <w:numId w:val="21"/>
        </w:numPr>
        <w:spacing w:after="60" w:line="240" w:lineRule="auto"/>
        <w:ind w:left="360"/>
        <w:rPr>
          <w:rFonts w:cstheme="minorHAnsi"/>
          <w:sz w:val="20"/>
        </w:rPr>
      </w:pPr>
      <w:r w:rsidRPr="005207F2">
        <w:rPr>
          <w:rFonts w:cstheme="minorHAnsi"/>
          <w:sz w:val="20"/>
        </w:rPr>
        <w:t xml:space="preserve">Society for Healthcare Epidemiology of America (SHEA). Compendium of Strategies to Prevent Healthcare-Associated Infections in Acute Care Hospitals. Updated 2024. </w:t>
      </w:r>
      <w:hyperlink r:id="rId28" w:history="1">
        <w:r w:rsidRPr="005207F2">
          <w:rPr>
            <w:rStyle w:val="Hyperlink"/>
            <w:rFonts w:cstheme="minorHAnsi"/>
            <w:sz w:val="20"/>
          </w:rPr>
          <w:t>https://shea-online.org/compendium-of-strategies-to-prevent-healthcare-associated-infections-in-acute-care-hospitals/</w:t>
        </w:r>
      </w:hyperlink>
      <w:r w:rsidRPr="005207F2">
        <w:rPr>
          <w:rFonts w:cstheme="minorHAnsi"/>
          <w:sz w:val="20"/>
        </w:rPr>
        <w:t>. Accessed April 2, 2024.</w:t>
      </w:r>
    </w:p>
    <w:p w14:paraId="6A262A4F" w14:textId="77777777" w:rsidR="00D55D6E" w:rsidRPr="005207F2" w:rsidRDefault="00D55D6E" w:rsidP="005128AB">
      <w:pPr>
        <w:numPr>
          <w:ilvl w:val="0"/>
          <w:numId w:val="21"/>
        </w:numPr>
        <w:spacing w:after="60" w:line="240" w:lineRule="auto"/>
        <w:ind w:left="360"/>
        <w:rPr>
          <w:rFonts w:cstheme="minorHAnsi"/>
          <w:sz w:val="20"/>
          <w:szCs w:val="20"/>
        </w:rPr>
      </w:pPr>
      <w:r w:rsidRPr="005207F2">
        <w:rPr>
          <w:rFonts w:cstheme="minorHAnsi"/>
          <w:sz w:val="20"/>
          <w:szCs w:val="20"/>
        </w:rPr>
        <w:t>Weiner-Lastinger LM, Abner S, Edwards JR, et al. Antimicrobial-resistant pathogens associated with adult healthcare-associated infections: summary of data reported to the National Healthcare Safety Network, 2015-2017. Infect Control Hosp Epidemiol. 2020 Jan;41(1):1-18. PMID: 31767041.</w:t>
      </w:r>
    </w:p>
    <w:p w14:paraId="5531FDB4" w14:textId="00A5A1BD" w:rsidR="00D55D6E" w:rsidRPr="005207F2" w:rsidRDefault="00D55D6E" w:rsidP="005128AB">
      <w:pPr>
        <w:numPr>
          <w:ilvl w:val="0"/>
          <w:numId w:val="21"/>
        </w:numPr>
        <w:spacing w:after="60" w:line="240" w:lineRule="auto"/>
        <w:ind w:left="360"/>
        <w:rPr>
          <w:rFonts w:cstheme="minorHAnsi"/>
          <w:sz w:val="20"/>
          <w:szCs w:val="20"/>
        </w:rPr>
      </w:pPr>
      <w:bookmarkStart w:id="10" w:name="apbref19"/>
      <w:bookmarkEnd w:id="10"/>
      <w:r w:rsidRPr="005207F2">
        <w:rPr>
          <w:rFonts w:cstheme="minorHAnsi"/>
          <w:sz w:val="20"/>
          <w:szCs w:val="20"/>
        </w:rPr>
        <w:lastRenderedPageBreak/>
        <w:t xml:space="preserve">von </w:t>
      </w:r>
      <w:proofErr w:type="spellStart"/>
      <w:r w:rsidRPr="005207F2">
        <w:rPr>
          <w:rFonts w:cstheme="minorHAnsi"/>
          <w:sz w:val="20"/>
          <w:szCs w:val="20"/>
        </w:rPr>
        <w:t>Eiff</w:t>
      </w:r>
      <w:proofErr w:type="spellEnd"/>
      <w:r w:rsidRPr="005207F2">
        <w:rPr>
          <w:rFonts w:cstheme="minorHAnsi"/>
          <w:sz w:val="20"/>
          <w:szCs w:val="20"/>
        </w:rPr>
        <w:t xml:space="preserve"> C, Becker K, Machka K, </w:t>
      </w:r>
      <w:r w:rsidR="00F87794">
        <w:rPr>
          <w:rFonts w:cstheme="minorHAnsi"/>
          <w:sz w:val="20"/>
          <w:szCs w:val="20"/>
        </w:rPr>
        <w:t>et al</w:t>
      </w:r>
      <w:r w:rsidRPr="005207F2">
        <w:rPr>
          <w:rFonts w:cstheme="minorHAnsi"/>
          <w:sz w:val="20"/>
          <w:szCs w:val="20"/>
        </w:rPr>
        <w:t xml:space="preserve">. Nasal carriage as a source of </w:t>
      </w:r>
      <w:r w:rsidRPr="005207F2">
        <w:rPr>
          <w:rFonts w:cstheme="minorHAnsi"/>
          <w:i/>
          <w:iCs/>
          <w:sz w:val="20"/>
          <w:szCs w:val="20"/>
        </w:rPr>
        <w:t xml:space="preserve">Staphylococcus aureus </w:t>
      </w:r>
      <w:r w:rsidRPr="005207F2">
        <w:rPr>
          <w:rFonts w:cstheme="minorHAnsi"/>
          <w:sz w:val="20"/>
          <w:szCs w:val="20"/>
        </w:rPr>
        <w:t>bacteremia. study Group. N Engl J Med. 2001 Jan 4;344(1):11-6. PMID: 11136954.</w:t>
      </w:r>
    </w:p>
    <w:p w14:paraId="79DEB688" w14:textId="77777777" w:rsidR="00D55D6E" w:rsidRPr="005207F2" w:rsidRDefault="00D55D6E" w:rsidP="005128AB">
      <w:pPr>
        <w:numPr>
          <w:ilvl w:val="0"/>
          <w:numId w:val="21"/>
        </w:numPr>
        <w:spacing w:after="60" w:line="240" w:lineRule="auto"/>
        <w:ind w:left="360"/>
        <w:rPr>
          <w:rFonts w:cstheme="minorHAnsi"/>
          <w:sz w:val="20"/>
          <w:szCs w:val="20"/>
        </w:rPr>
      </w:pPr>
      <w:r w:rsidRPr="005207F2">
        <w:rPr>
          <w:rFonts w:cstheme="minorHAnsi"/>
          <w:sz w:val="20"/>
          <w:szCs w:val="20"/>
        </w:rPr>
        <w:t xml:space="preserve">Huang SS, Diekema DJ, Warren DK, et al. Strain-relatedness of methicillin-resistant </w:t>
      </w:r>
      <w:r w:rsidRPr="005207F2">
        <w:rPr>
          <w:rFonts w:cstheme="minorHAnsi"/>
          <w:i/>
          <w:iCs/>
          <w:sz w:val="20"/>
          <w:szCs w:val="20"/>
        </w:rPr>
        <w:t>Staphylococcus aureus</w:t>
      </w:r>
      <w:r w:rsidRPr="005207F2">
        <w:rPr>
          <w:rFonts w:cstheme="minorHAnsi"/>
          <w:sz w:val="20"/>
          <w:szCs w:val="20"/>
        </w:rPr>
        <w:t xml:space="preserve"> isolates recovered from patients with repeated infection. Clin Infect Dis. 2008 Apr 15;46(8):1241-7. PMID: 18444862.</w:t>
      </w:r>
    </w:p>
    <w:p w14:paraId="700D7EEE" w14:textId="6D3A792B" w:rsidR="00D55D6E" w:rsidRPr="005207F2" w:rsidRDefault="00D55D6E" w:rsidP="005128AB">
      <w:pPr>
        <w:numPr>
          <w:ilvl w:val="0"/>
          <w:numId w:val="21"/>
        </w:numPr>
        <w:spacing w:after="60" w:line="240" w:lineRule="auto"/>
        <w:ind w:left="360"/>
        <w:rPr>
          <w:rFonts w:cstheme="minorHAnsi"/>
          <w:sz w:val="20"/>
          <w:szCs w:val="20"/>
        </w:rPr>
      </w:pPr>
      <w:r w:rsidRPr="005207F2">
        <w:rPr>
          <w:rFonts w:cstheme="minorHAnsi"/>
          <w:sz w:val="20"/>
          <w:szCs w:val="20"/>
        </w:rPr>
        <w:t xml:space="preserve">van </w:t>
      </w:r>
      <w:proofErr w:type="spellStart"/>
      <w:r w:rsidRPr="005207F2">
        <w:rPr>
          <w:rFonts w:cstheme="minorHAnsi"/>
          <w:sz w:val="20"/>
          <w:szCs w:val="20"/>
        </w:rPr>
        <w:t>Rijen</w:t>
      </w:r>
      <w:proofErr w:type="spellEnd"/>
      <w:r w:rsidRPr="005207F2">
        <w:rPr>
          <w:rFonts w:cstheme="minorHAnsi"/>
          <w:sz w:val="20"/>
          <w:szCs w:val="20"/>
        </w:rPr>
        <w:t xml:space="preserve"> M, </w:t>
      </w:r>
      <w:proofErr w:type="spellStart"/>
      <w:r w:rsidRPr="005207F2">
        <w:rPr>
          <w:rFonts w:cstheme="minorHAnsi"/>
          <w:sz w:val="20"/>
          <w:szCs w:val="20"/>
        </w:rPr>
        <w:t>Bonten</w:t>
      </w:r>
      <w:proofErr w:type="spellEnd"/>
      <w:r w:rsidRPr="005207F2">
        <w:rPr>
          <w:rFonts w:cstheme="minorHAnsi"/>
          <w:sz w:val="20"/>
          <w:szCs w:val="20"/>
        </w:rPr>
        <w:t xml:space="preserve"> M, Wenzel R, </w:t>
      </w:r>
      <w:r w:rsidR="0056370F">
        <w:rPr>
          <w:rFonts w:cstheme="minorHAnsi"/>
          <w:sz w:val="20"/>
          <w:szCs w:val="20"/>
        </w:rPr>
        <w:t>et al</w:t>
      </w:r>
      <w:r w:rsidRPr="005207F2">
        <w:rPr>
          <w:rFonts w:cstheme="minorHAnsi"/>
          <w:sz w:val="20"/>
          <w:szCs w:val="20"/>
        </w:rPr>
        <w:t xml:space="preserve">. Mupirocin ointment for preventing </w:t>
      </w:r>
      <w:r w:rsidRPr="005207F2">
        <w:rPr>
          <w:rFonts w:cstheme="minorHAnsi"/>
          <w:i/>
          <w:iCs/>
          <w:sz w:val="20"/>
          <w:szCs w:val="20"/>
        </w:rPr>
        <w:t>Staphylococcus aureus</w:t>
      </w:r>
      <w:r w:rsidRPr="005207F2">
        <w:rPr>
          <w:rFonts w:cstheme="minorHAnsi"/>
          <w:sz w:val="20"/>
          <w:szCs w:val="20"/>
        </w:rPr>
        <w:t xml:space="preserve"> infections in nasal carriers. Cochrane Database Syst Rev. 2008 Oct 8;(4):CD006216. PMID: 18843708.</w:t>
      </w:r>
    </w:p>
    <w:p w14:paraId="50CB76A8" w14:textId="77475896" w:rsidR="00D55D6E" w:rsidRPr="005207F2" w:rsidRDefault="00D55D6E" w:rsidP="005128AB">
      <w:pPr>
        <w:numPr>
          <w:ilvl w:val="0"/>
          <w:numId w:val="21"/>
        </w:numPr>
        <w:spacing w:after="60" w:line="240" w:lineRule="auto"/>
        <w:ind w:left="360"/>
        <w:rPr>
          <w:rFonts w:cstheme="minorHAnsi"/>
          <w:sz w:val="20"/>
          <w:szCs w:val="20"/>
        </w:rPr>
      </w:pPr>
      <w:proofErr w:type="spellStart"/>
      <w:r w:rsidRPr="005207F2">
        <w:rPr>
          <w:rFonts w:cstheme="minorHAnsi"/>
          <w:sz w:val="20"/>
          <w:szCs w:val="20"/>
        </w:rPr>
        <w:t>Ammerlaan</w:t>
      </w:r>
      <w:proofErr w:type="spellEnd"/>
      <w:r w:rsidRPr="005207F2">
        <w:rPr>
          <w:rFonts w:cstheme="minorHAnsi"/>
          <w:sz w:val="20"/>
          <w:szCs w:val="20"/>
        </w:rPr>
        <w:t xml:space="preserve"> HS, </w:t>
      </w:r>
      <w:proofErr w:type="spellStart"/>
      <w:r w:rsidRPr="005207F2">
        <w:rPr>
          <w:rFonts w:cstheme="minorHAnsi"/>
          <w:sz w:val="20"/>
          <w:szCs w:val="20"/>
        </w:rPr>
        <w:t>Kluytmans</w:t>
      </w:r>
      <w:proofErr w:type="spellEnd"/>
      <w:r w:rsidRPr="005207F2">
        <w:rPr>
          <w:rFonts w:cstheme="minorHAnsi"/>
          <w:sz w:val="20"/>
          <w:szCs w:val="20"/>
        </w:rPr>
        <w:t xml:space="preserve"> JA, Wertheim HF, </w:t>
      </w:r>
      <w:r w:rsidR="008E1CB7">
        <w:rPr>
          <w:rFonts w:cstheme="minorHAnsi"/>
          <w:sz w:val="20"/>
          <w:szCs w:val="20"/>
        </w:rPr>
        <w:t>et al</w:t>
      </w:r>
      <w:r w:rsidRPr="005207F2">
        <w:rPr>
          <w:rFonts w:cstheme="minorHAnsi"/>
          <w:sz w:val="20"/>
          <w:szCs w:val="20"/>
        </w:rPr>
        <w:t xml:space="preserve">. Eradication of methicillin-resistant </w:t>
      </w:r>
      <w:r w:rsidRPr="005207F2">
        <w:rPr>
          <w:rFonts w:cstheme="minorHAnsi"/>
          <w:i/>
          <w:iCs/>
          <w:sz w:val="20"/>
          <w:szCs w:val="20"/>
        </w:rPr>
        <w:t>Staphylococcus aureus</w:t>
      </w:r>
      <w:r w:rsidRPr="005207F2">
        <w:rPr>
          <w:rFonts w:cstheme="minorHAnsi"/>
          <w:sz w:val="20"/>
          <w:szCs w:val="20"/>
        </w:rPr>
        <w:t xml:space="preserve"> carriage: a systematic review. Clin Infect Dis. 2009 Apr 1;48(7):922-30. PMID: 19231978.</w:t>
      </w:r>
    </w:p>
    <w:p w14:paraId="2893F129" w14:textId="77777777" w:rsidR="00D55D6E" w:rsidRPr="005207F2" w:rsidRDefault="00D55D6E" w:rsidP="005128AB">
      <w:pPr>
        <w:numPr>
          <w:ilvl w:val="0"/>
          <w:numId w:val="21"/>
        </w:numPr>
        <w:spacing w:after="60" w:line="240" w:lineRule="auto"/>
        <w:ind w:left="360"/>
        <w:rPr>
          <w:rFonts w:cstheme="minorHAnsi"/>
          <w:sz w:val="20"/>
          <w:szCs w:val="20"/>
        </w:rPr>
      </w:pPr>
      <w:bookmarkStart w:id="11" w:name="apbref20"/>
      <w:bookmarkStart w:id="12" w:name="apbref21"/>
      <w:bookmarkEnd w:id="11"/>
      <w:bookmarkEnd w:id="12"/>
      <w:r w:rsidRPr="005207F2">
        <w:rPr>
          <w:rFonts w:cstheme="minorHAnsi"/>
          <w:sz w:val="20"/>
          <w:szCs w:val="20"/>
        </w:rPr>
        <w:t xml:space="preserve">Fritz SA, </w:t>
      </w:r>
      <w:proofErr w:type="spellStart"/>
      <w:r w:rsidRPr="005207F2">
        <w:rPr>
          <w:rFonts w:cstheme="minorHAnsi"/>
          <w:sz w:val="20"/>
          <w:szCs w:val="20"/>
        </w:rPr>
        <w:t>Camins</w:t>
      </w:r>
      <w:proofErr w:type="spellEnd"/>
      <w:r w:rsidRPr="005207F2">
        <w:rPr>
          <w:rFonts w:cstheme="minorHAnsi"/>
          <w:sz w:val="20"/>
          <w:szCs w:val="20"/>
        </w:rPr>
        <w:t xml:space="preserve"> BC, Eisenstein KA, et al. Effectiveness of measures to eradicate </w:t>
      </w:r>
      <w:r w:rsidRPr="005207F2">
        <w:rPr>
          <w:rFonts w:cstheme="minorHAnsi"/>
          <w:i/>
          <w:iCs/>
          <w:sz w:val="20"/>
          <w:szCs w:val="20"/>
        </w:rPr>
        <w:t>Staphylococcus aureus</w:t>
      </w:r>
      <w:r w:rsidRPr="005207F2">
        <w:rPr>
          <w:rFonts w:cstheme="minorHAnsi"/>
          <w:sz w:val="20"/>
          <w:szCs w:val="20"/>
        </w:rPr>
        <w:t xml:space="preserve"> carriage in patients with community-associated skin and soft-tissue infections: a randomized trial. Infect Control Hosp Epidemiol. 2011 Sep;32(9):872-80. PMID: 21828967.</w:t>
      </w:r>
    </w:p>
    <w:p w14:paraId="2468B909" w14:textId="77777777" w:rsidR="00D55D6E" w:rsidRPr="005207F2" w:rsidRDefault="00D55D6E" w:rsidP="005128AB">
      <w:pPr>
        <w:numPr>
          <w:ilvl w:val="0"/>
          <w:numId w:val="21"/>
        </w:numPr>
        <w:spacing w:after="60" w:line="240" w:lineRule="auto"/>
        <w:ind w:left="360"/>
        <w:rPr>
          <w:rFonts w:cstheme="minorHAnsi"/>
          <w:sz w:val="20"/>
          <w:szCs w:val="20"/>
        </w:rPr>
      </w:pPr>
      <w:r w:rsidRPr="005207F2">
        <w:rPr>
          <w:rFonts w:cstheme="minorHAnsi"/>
          <w:sz w:val="20"/>
          <w:szCs w:val="20"/>
        </w:rPr>
        <w:t xml:space="preserve">Lepelletier D, Maillard JY, </w:t>
      </w:r>
      <w:proofErr w:type="spellStart"/>
      <w:r w:rsidRPr="005207F2">
        <w:rPr>
          <w:rFonts w:cstheme="minorHAnsi"/>
          <w:sz w:val="20"/>
          <w:szCs w:val="20"/>
        </w:rPr>
        <w:t>Pozzetto</w:t>
      </w:r>
      <w:proofErr w:type="spellEnd"/>
      <w:r w:rsidRPr="005207F2">
        <w:rPr>
          <w:rFonts w:cstheme="minorHAnsi"/>
          <w:sz w:val="20"/>
          <w:szCs w:val="20"/>
        </w:rPr>
        <w:t xml:space="preserve"> B, et al. Povidone iodine: properties, mechanisms of action, and role in infection control and </w:t>
      </w:r>
      <w:r w:rsidRPr="005207F2">
        <w:rPr>
          <w:rFonts w:cstheme="minorHAnsi"/>
          <w:i/>
          <w:iCs/>
          <w:sz w:val="20"/>
          <w:szCs w:val="20"/>
        </w:rPr>
        <w:t>Staphylococcus aureus</w:t>
      </w:r>
      <w:r w:rsidRPr="005207F2">
        <w:rPr>
          <w:rFonts w:cstheme="minorHAnsi"/>
          <w:sz w:val="20"/>
          <w:szCs w:val="20"/>
        </w:rPr>
        <w:t xml:space="preserve"> decolonization. </w:t>
      </w:r>
      <w:proofErr w:type="spellStart"/>
      <w:r w:rsidRPr="005207F2">
        <w:rPr>
          <w:rFonts w:cstheme="minorHAnsi"/>
          <w:sz w:val="20"/>
          <w:szCs w:val="20"/>
        </w:rPr>
        <w:t>Antimicrob</w:t>
      </w:r>
      <w:proofErr w:type="spellEnd"/>
      <w:r w:rsidRPr="005207F2">
        <w:rPr>
          <w:rFonts w:cstheme="minorHAnsi"/>
          <w:sz w:val="20"/>
          <w:szCs w:val="20"/>
        </w:rPr>
        <w:t xml:space="preserve"> Agents </w:t>
      </w:r>
      <w:proofErr w:type="spellStart"/>
      <w:r w:rsidRPr="005207F2">
        <w:rPr>
          <w:rFonts w:cstheme="minorHAnsi"/>
          <w:sz w:val="20"/>
          <w:szCs w:val="20"/>
        </w:rPr>
        <w:t>Chemother</w:t>
      </w:r>
      <w:proofErr w:type="spellEnd"/>
      <w:r w:rsidRPr="005207F2">
        <w:rPr>
          <w:rFonts w:cstheme="minorHAnsi"/>
          <w:sz w:val="20"/>
          <w:szCs w:val="20"/>
        </w:rPr>
        <w:t>. 2020;64(9):e00682-20. PMID: 32571829.</w:t>
      </w:r>
    </w:p>
    <w:p w14:paraId="56D7326D" w14:textId="77777777" w:rsidR="00403BE7" w:rsidRPr="005207F2" w:rsidRDefault="00403BE7" w:rsidP="00403BE7">
      <w:pPr>
        <w:numPr>
          <w:ilvl w:val="0"/>
          <w:numId w:val="21"/>
        </w:numPr>
        <w:spacing w:after="60" w:line="240" w:lineRule="auto"/>
        <w:ind w:left="360"/>
        <w:rPr>
          <w:rFonts w:cstheme="minorHAnsi"/>
          <w:sz w:val="20"/>
        </w:rPr>
      </w:pPr>
      <w:r w:rsidRPr="005207F2">
        <w:rPr>
          <w:rFonts w:cstheme="minorHAnsi"/>
          <w:sz w:val="20"/>
        </w:rPr>
        <w:t xml:space="preserve">Huang SS, Septimus EJ, Kleinman K, et al. Nasal iodophor antiseptic vs nasal mupirocin in the setting of chlorhexidine bathing to prevent infections in adult ICUs: a randomized clinical trial. JAMA. 2023 Oct 10;330(14):1337-47. PMID: 37815567. </w:t>
      </w:r>
    </w:p>
    <w:p w14:paraId="7491DA45" w14:textId="77777777" w:rsidR="00D55D6E" w:rsidRPr="005207F2" w:rsidRDefault="00D55D6E" w:rsidP="005128AB">
      <w:pPr>
        <w:numPr>
          <w:ilvl w:val="0"/>
          <w:numId w:val="21"/>
        </w:numPr>
        <w:spacing w:after="60" w:line="240" w:lineRule="auto"/>
        <w:ind w:left="360"/>
        <w:rPr>
          <w:rFonts w:cstheme="minorHAnsi"/>
          <w:sz w:val="20"/>
          <w:szCs w:val="20"/>
        </w:rPr>
      </w:pPr>
      <w:r w:rsidRPr="005207F2">
        <w:rPr>
          <w:rFonts w:cstheme="minorHAnsi"/>
          <w:sz w:val="20"/>
          <w:szCs w:val="20"/>
        </w:rPr>
        <w:t xml:space="preserve">Heim LT, Miller LG, Singh RD, et al. Double-swab 5% versus single-swab 10% iodophor for reducing methicillin-resistant </w:t>
      </w:r>
      <w:r w:rsidRPr="005207F2">
        <w:rPr>
          <w:rFonts w:cstheme="minorHAnsi"/>
          <w:i/>
          <w:iCs/>
          <w:sz w:val="20"/>
          <w:szCs w:val="20"/>
        </w:rPr>
        <w:t>Staphylococcus aureus</w:t>
      </w:r>
      <w:r w:rsidRPr="005207F2">
        <w:rPr>
          <w:rFonts w:cstheme="minorHAnsi"/>
          <w:sz w:val="20"/>
          <w:szCs w:val="20"/>
        </w:rPr>
        <w:t xml:space="preserve"> with routine chlorhexidine bathing. Infect Control Hosp Epidemiol. 2021 Aug 26:1-3. PMID: 34433509.</w:t>
      </w:r>
    </w:p>
    <w:p w14:paraId="415FAB81" w14:textId="017B2F05" w:rsidR="00D55D6E" w:rsidRPr="005207F2" w:rsidRDefault="00D55D6E" w:rsidP="005128AB">
      <w:pPr>
        <w:numPr>
          <w:ilvl w:val="0"/>
          <w:numId w:val="21"/>
        </w:numPr>
        <w:spacing w:after="60" w:line="240" w:lineRule="auto"/>
        <w:ind w:left="360"/>
        <w:rPr>
          <w:rFonts w:cstheme="minorHAnsi"/>
          <w:sz w:val="20"/>
          <w:szCs w:val="20"/>
        </w:rPr>
      </w:pPr>
      <w:bookmarkStart w:id="13" w:name="apbref22"/>
      <w:bookmarkEnd w:id="13"/>
      <w:r w:rsidRPr="005207F2">
        <w:rPr>
          <w:rFonts w:cstheme="minorHAnsi"/>
          <w:sz w:val="20"/>
          <w:szCs w:val="20"/>
        </w:rPr>
        <w:t>Ridenour G, Lampen R, Federspiel J, et al. Selective use of intranasal mupirocin and chlorhexidine bathing and the incidence of methicillin-resistant</w:t>
      </w:r>
      <w:r w:rsidR="001F1E92">
        <w:rPr>
          <w:rFonts w:cstheme="minorHAnsi"/>
          <w:sz w:val="20"/>
          <w:szCs w:val="20"/>
        </w:rPr>
        <w:t xml:space="preserve"> </w:t>
      </w:r>
      <w:r w:rsidRPr="005207F2">
        <w:rPr>
          <w:rFonts w:cstheme="minorHAnsi"/>
          <w:i/>
          <w:iCs/>
          <w:sz w:val="20"/>
          <w:szCs w:val="20"/>
        </w:rPr>
        <w:t>Staphylococcus aureus</w:t>
      </w:r>
      <w:r w:rsidR="001F1E92">
        <w:rPr>
          <w:rFonts w:cstheme="minorHAnsi"/>
          <w:sz w:val="20"/>
          <w:szCs w:val="20"/>
        </w:rPr>
        <w:t xml:space="preserve"> </w:t>
      </w:r>
      <w:r w:rsidRPr="005207F2">
        <w:rPr>
          <w:rFonts w:cstheme="minorHAnsi"/>
          <w:sz w:val="20"/>
          <w:szCs w:val="20"/>
        </w:rPr>
        <w:t>colonization and infection among intensive care unit patients.</w:t>
      </w:r>
      <w:r w:rsidR="001F1E92">
        <w:rPr>
          <w:rFonts w:cstheme="minorHAnsi"/>
          <w:sz w:val="20"/>
          <w:szCs w:val="20"/>
        </w:rPr>
        <w:t xml:space="preserve"> </w:t>
      </w:r>
      <w:r w:rsidRPr="005207F2">
        <w:rPr>
          <w:rFonts w:cstheme="minorHAnsi"/>
          <w:i/>
          <w:iCs/>
          <w:sz w:val="20"/>
          <w:szCs w:val="20"/>
        </w:rPr>
        <w:t>Infect Control Hosp Epidemiol</w:t>
      </w:r>
      <w:r w:rsidR="001F1E92">
        <w:rPr>
          <w:rFonts w:cstheme="minorHAnsi"/>
          <w:sz w:val="20"/>
          <w:szCs w:val="20"/>
        </w:rPr>
        <w:t xml:space="preserve"> </w:t>
      </w:r>
      <w:r w:rsidRPr="005207F2">
        <w:rPr>
          <w:rFonts w:cstheme="minorHAnsi"/>
          <w:sz w:val="20"/>
          <w:szCs w:val="20"/>
        </w:rPr>
        <w:t>2007; 28:1155-61.</w:t>
      </w:r>
    </w:p>
    <w:p w14:paraId="0E434BD5" w14:textId="77777777" w:rsidR="00D55D6E" w:rsidRPr="005207F2" w:rsidRDefault="00D55D6E" w:rsidP="005128AB">
      <w:pPr>
        <w:numPr>
          <w:ilvl w:val="0"/>
          <w:numId w:val="21"/>
        </w:numPr>
        <w:spacing w:after="60" w:line="240" w:lineRule="auto"/>
        <w:ind w:left="360"/>
        <w:rPr>
          <w:rFonts w:cstheme="minorHAnsi"/>
          <w:sz w:val="20"/>
          <w:szCs w:val="20"/>
        </w:rPr>
      </w:pPr>
      <w:bookmarkStart w:id="14" w:name="apbref23"/>
      <w:bookmarkEnd w:id="14"/>
      <w:r w:rsidRPr="005207F2">
        <w:rPr>
          <w:rFonts w:cstheme="minorHAnsi"/>
          <w:sz w:val="20"/>
          <w:szCs w:val="20"/>
        </w:rPr>
        <w:t xml:space="preserve">Robicsek A, Beaumont JL, Thomson RB Jr, et al. Topical therapy for methicillin-resistant </w:t>
      </w:r>
      <w:r w:rsidRPr="005207F2">
        <w:rPr>
          <w:rFonts w:cstheme="minorHAnsi"/>
          <w:i/>
          <w:iCs/>
          <w:sz w:val="20"/>
          <w:szCs w:val="20"/>
        </w:rPr>
        <w:t xml:space="preserve">Staphylococcus aureus </w:t>
      </w:r>
      <w:r w:rsidRPr="005207F2">
        <w:rPr>
          <w:rFonts w:cstheme="minorHAnsi"/>
          <w:sz w:val="20"/>
          <w:szCs w:val="20"/>
        </w:rPr>
        <w:t>colonization: impact on infection risk. Infect Control Hosp Epidemiol. 2009 Jul;30(7):623-32. PMID: 19496730.</w:t>
      </w:r>
    </w:p>
    <w:p w14:paraId="46C0E74C" w14:textId="77777777" w:rsidR="00D55D6E" w:rsidRPr="005207F2" w:rsidRDefault="00D55D6E" w:rsidP="005128AB">
      <w:pPr>
        <w:numPr>
          <w:ilvl w:val="0"/>
          <w:numId w:val="21"/>
        </w:numPr>
        <w:spacing w:after="60" w:line="240" w:lineRule="auto"/>
        <w:ind w:left="360"/>
        <w:rPr>
          <w:rFonts w:cstheme="minorHAnsi"/>
          <w:sz w:val="20"/>
          <w:szCs w:val="20"/>
        </w:rPr>
      </w:pPr>
      <w:bookmarkStart w:id="15" w:name="apbref24"/>
      <w:bookmarkEnd w:id="15"/>
      <w:r w:rsidRPr="005207F2">
        <w:rPr>
          <w:rFonts w:cstheme="minorHAnsi"/>
          <w:sz w:val="20"/>
          <w:szCs w:val="20"/>
        </w:rPr>
        <w:t xml:space="preserve">Jones JC, Rogers TJ, Brookmeyer P, et al. Mupirocin resistance in patients colonized with methicillin-resistant </w:t>
      </w:r>
      <w:r w:rsidRPr="005207F2">
        <w:rPr>
          <w:rFonts w:cstheme="minorHAnsi"/>
          <w:i/>
          <w:iCs/>
          <w:sz w:val="20"/>
          <w:szCs w:val="20"/>
        </w:rPr>
        <w:t>Staphylococcus aureus</w:t>
      </w:r>
      <w:r w:rsidRPr="005207F2">
        <w:rPr>
          <w:rFonts w:cstheme="minorHAnsi"/>
          <w:sz w:val="20"/>
          <w:szCs w:val="20"/>
        </w:rPr>
        <w:t xml:space="preserve"> in a surgical intensive care unit. Clin Infect Dis. 2007 Sep 1;45(5):541-7. PMID: 17682986.</w:t>
      </w:r>
    </w:p>
    <w:p w14:paraId="71761BEF" w14:textId="77777777" w:rsidR="00D55D6E" w:rsidRPr="005207F2" w:rsidRDefault="00D55D6E" w:rsidP="005128AB">
      <w:pPr>
        <w:numPr>
          <w:ilvl w:val="0"/>
          <w:numId w:val="21"/>
        </w:numPr>
        <w:spacing w:after="60" w:line="240" w:lineRule="auto"/>
        <w:ind w:left="360"/>
        <w:rPr>
          <w:rFonts w:cstheme="minorHAnsi"/>
          <w:sz w:val="20"/>
          <w:szCs w:val="20"/>
        </w:rPr>
      </w:pPr>
      <w:bookmarkStart w:id="16" w:name="apbref25"/>
      <w:bookmarkEnd w:id="16"/>
      <w:proofErr w:type="spellStart"/>
      <w:r w:rsidRPr="005207F2">
        <w:rPr>
          <w:rFonts w:cstheme="minorHAnsi"/>
          <w:sz w:val="20"/>
          <w:szCs w:val="20"/>
        </w:rPr>
        <w:t>Harbarth</w:t>
      </w:r>
      <w:proofErr w:type="spellEnd"/>
      <w:r w:rsidRPr="005207F2">
        <w:rPr>
          <w:rFonts w:cstheme="minorHAnsi"/>
          <w:sz w:val="20"/>
          <w:szCs w:val="20"/>
        </w:rPr>
        <w:t xml:space="preserve"> S, Dharan S, </w:t>
      </w:r>
      <w:proofErr w:type="spellStart"/>
      <w:r w:rsidRPr="005207F2">
        <w:rPr>
          <w:rFonts w:cstheme="minorHAnsi"/>
          <w:sz w:val="20"/>
          <w:szCs w:val="20"/>
        </w:rPr>
        <w:t>Liassine</w:t>
      </w:r>
      <w:proofErr w:type="spellEnd"/>
      <w:r w:rsidRPr="005207F2">
        <w:rPr>
          <w:rFonts w:cstheme="minorHAnsi"/>
          <w:sz w:val="20"/>
          <w:szCs w:val="20"/>
        </w:rPr>
        <w:t xml:space="preserve"> N, et al. Randomized, placebo-controlled, double-blind trial to evaluate the efficacy of mupirocin for eradicating carriage of methicillin-resistant </w:t>
      </w:r>
      <w:r w:rsidRPr="005207F2">
        <w:rPr>
          <w:rFonts w:cstheme="minorHAnsi"/>
          <w:i/>
          <w:iCs/>
          <w:sz w:val="20"/>
          <w:szCs w:val="20"/>
        </w:rPr>
        <w:t>Staphylococcus aureus</w:t>
      </w:r>
      <w:r w:rsidRPr="005207F2">
        <w:rPr>
          <w:rFonts w:cstheme="minorHAnsi"/>
          <w:sz w:val="20"/>
          <w:szCs w:val="20"/>
        </w:rPr>
        <w:t xml:space="preserve">. </w:t>
      </w:r>
      <w:proofErr w:type="spellStart"/>
      <w:r w:rsidRPr="005207F2">
        <w:rPr>
          <w:rFonts w:cstheme="minorHAnsi"/>
          <w:sz w:val="20"/>
          <w:szCs w:val="20"/>
        </w:rPr>
        <w:t>Antimicrob</w:t>
      </w:r>
      <w:proofErr w:type="spellEnd"/>
      <w:r w:rsidRPr="005207F2">
        <w:rPr>
          <w:rFonts w:cstheme="minorHAnsi"/>
          <w:sz w:val="20"/>
          <w:szCs w:val="20"/>
        </w:rPr>
        <w:t xml:space="preserve"> Agents </w:t>
      </w:r>
      <w:proofErr w:type="spellStart"/>
      <w:r w:rsidRPr="005207F2">
        <w:rPr>
          <w:rFonts w:cstheme="minorHAnsi"/>
          <w:sz w:val="20"/>
          <w:szCs w:val="20"/>
        </w:rPr>
        <w:t>Chemother</w:t>
      </w:r>
      <w:proofErr w:type="spellEnd"/>
      <w:r w:rsidRPr="005207F2">
        <w:rPr>
          <w:rFonts w:cstheme="minorHAnsi"/>
          <w:sz w:val="20"/>
          <w:szCs w:val="20"/>
        </w:rPr>
        <w:t>. 1999 Jun;43(6):1412-6. PMID: 10348762.</w:t>
      </w:r>
    </w:p>
    <w:p w14:paraId="5B1A8B0C" w14:textId="77777777" w:rsidR="00D55D6E" w:rsidRPr="005207F2" w:rsidRDefault="00D55D6E" w:rsidP="005128AB">
      <w:pPr>
        <w:numPr>
          <w:ilvl w:val="0"/>
          <w:numId w:val="21"/>
        </w:numPr>
        <w:spacing w:after="60" w:line="240" w:lineRule="auto"/>
        <w:ind w:left="360"/>
        <w:rPr>
          <w:rFonts w:cstheme="minorHAnsi"/>
          <w:sz w:val="20"/>
          <w:szCs w:val="20"/>
        </w:rPr>
      </w:pPr>
      <w:bookmarkStart w:id="17" w:name="apbref26"/>
      <w:bookmarkEnd w:id="17"/>
      <w:r w:rsidRPr="005207F2">
        <w:rPr>
          <w:rFonts w:cstheme="minorHAnsi"/>
          <w:sz w:val="20"/>
          <w:szCs w:val="20"/>
        </w:rPr>
        <w:t xml:space="preserve">Simor AE, Stuart TL, Louie L, et al. Mupirocin-resistant, methicillin-resistant </w:t>
      </w:r>
      <w:r w:rsidRPr="005207F2">
        <w:rPr>
          <w:rFonts w:cstheme="minorHAnsi"/>
          <w:i/>
          <w:iCs/>
          <w:sz w:val="20"/>
          <w:szCs w:val="20"/>
        </w:rPr>
        <w:t>Staphylococcus aureus</w:t>
      </w:r>
      <w:r w:rsidRPr="005207F2">
        <w:rPr>
          <w:rFonts w:cstheme="minorHAnsi"/>
          <w:sz w:val="20"/>
          <w:szCs w:val="20"/>
        </w:rPr>
        <w:t xml:space="preserve"> strains in Canadian hospitals. </w:t>
      </w:r>
      <w:proofErr w:type="spellStart"/>
      <w:r w:rsidRPr="005207F2">
        <w:rPr>
          <w:rFonts w:cstheme="minorHAnsi"/>
          <w:sz w:val="20"/>
          <w:szCs w:val="20"/>
        </w:rPr>
        <w:t>Antimicrob</w:t>
      </w:r>
      <w:proofErr w:type="spellEnd"/>
      <w:r w:rsidRPr="005207F2">
        <w:rPr>
          <w:rFonts w:cstheme="minorHAnsi"/>
          <w:sz w:val="20"/>
          <w:szCs w:val="20"/>
        </w:rPr>
        <w:t xml:space="preserve"> Agents </w:t>
      </w:r>
      <w:proofErr w:type="spellStart"/>
      <w:r w:rsidRPr="005207F2">
        <w:rPr>
          <w:rFonts w:cstheme="minorHAnsi"/>
          <w:sz w:val="20"/>
          <w:szCs w:val="20"/>
        </w:rPr>
        <w:t>Chemother</w:t>
      </w:r>
      <w:proofErr w:type="spellEnd"/>
      <w:r w:rsidRPr="005207F2">
        <w:rPr>
          <w:rFonts w:cstheme="minorHAnsi"/>
          <w:sz w:val="20"/>
          <w:szCs w:val="20"/>
        </w:rPr>
        <w:t>. 2007 Nov;51(11):3880-6. PMID: 17724154.</w:t>
      </w:r>
    </w:p>
    <w:p w14:paraId="24552281" w14:textId="77777777" w:rsidR="00D55D6E" w:rsidRPr="005207F2" w:rsidRDefault="00D55D6E" w:rsidP="005128AB">
      <w:pPr>
        <w:numPr>
          <w:ilvl w:val="0"/>
          <w:numId w:val="21"/>
        </w:numPr>
        <w:spacing w:after="60" w:line="240" w:lineRule="auto"/>
        <w:ind w:left="360"/>
        <w:rPr>
          <w:rFonts w:cstheme="minorHAnsi"/>
          <w:sz w:val="20"/>
          <w:szCs w:val="20"/>
        </w:rPr>
      </w:pPr>
      <w:bookmarkStart w:id="18" w:name="apbref27"/>
      <w:bookmarkEnd w:id="18"/>
      <w:r w:rsidRPr="005207F2">
        <w:rPr>
          <w:rFonts w:cstheme="minorHAnsi"/>
          <w:sz w:val="20"/>
          <w:szCs w:val="20"/>
        </w:rPr>
        <w:t xml:space="preserve">Ellis MW, Griffith ME, Dooley DP, et al. Targeted intranasal mupirocin to prevent colonization and infection by community-associated methicillin-resistant </w:t>
      </w:r>
      <w:r w:rsidRPr="005207F2">
        <w:rPr>
          <w:rFonts w:cstheme="minorHAnsi"/>
          <w:i/>
          <w:iCs/>
          <w:sz w:val="20"/>
          <w:szCs w:val="20"/>
        </w:rPr>
        <w:t>Staphylococcus aureus</w:t>
      </w:r>
      <w:r w:rsidRPr="005207F2">
        <w:rPr>
          <w:rFonts w:cstheme="minorHAnsi"/>
          <w:sz w:val="20"/>
          <w:szCs w:val="20"/>
        </w:rPr>
        <w:t xml:space="preserve"> strains in soldiers: a cluster randomized controlled trial. </w:t>
      </w:r>
      <w:proofErr w:type="spellStart"/>
      <w:r w:rsidRPr="005207F2">
        <w:rPr>
          <w:rFonts w:cstheme="minorHAnsi"/>
          <w:sz w:val="20"/>
          <w:szCs w:val="20"/>
        </w:rPr>
        <w:t>Antimicrob</w:t>
      </w:r>
      <w:proofErr w:type="spellEnd"/>
      <w:r w:rsidRPr="005207F2">
        <w:rPr>
          <w:rFonts w:cstheme="minorHAnsi"/>
          <w:sz w:val="20"/>
          <w:szCs w:val="20"/>
        </w:rPr>
        <w:t xml:space="preserve"> Agents </w:t>
      </w:r>
      <w:proofErr w:type="spellStart"/>
      <w:r w:rsidRPr="005207F2">
        <w:rPr>
          <w:rFonts w:cstheme="minorHAnsi"/>
          <w:sz w:val="20"/>
          <w:szCs w:val="20"/>
        </w:rPr>
        <w:t>Chemother</w:t>
      </w:r>
      <w:proofErr w:type="spellEnd"/>
      <w:r w:rsidRPr="005207F2">
        <w:rPr>
          <w:rFonts w:cstheme="minorHAnsi"/>
          <w:sz w:val="20"/>
          <w:szCs w:val="20"/>
        </w:rPr>
        <w:t>. 2007 Oct;51(10):3591-8. PMID: 17682105.</w:t>
      </w:r>
    </w:p>
    <w:p w14:paraId="37EB05A7" w14:textId="38891E16" w:rsidR="00D02995" w:rsidRDefault="008F3E4B" w:rsidP="00236C62">
      <w:pPr>
        <w:numPr>
          <w:ilvl w:val="0"/>
          <w:numId w:val="21"/>
        </w:numPr>
        <w:spacing w:after="60" w:line="240" w:lineRule="auto"/>
        <w:ind w:left="360"/>
        <w:rPr>
          <w:rFonts w:cstheme="minorHAnsi"/>
          <w:sz w:val="20"/>
          <w:szCs w:val="20"/>
        </w:rPr>
      </w:pPr>
      <w:r w:rsidRPr="005207F2">
        <w:rPr>
          <w:rFonts w:cstheme="minorHAnsi"/>
          <w:sz w:val="20"/>
          <w:szCs w:val="20"/>
        </w:rPr>
        <w:t xml:space="preserve">Hayden MK, </w:t>
      </w:r>
      <w:proofErr w:type="spellStart"/>
      <w:r w:rsidRPr="005207F2">
        <w:rPr>
          <w:rFonts w:cstheme="minorHAnsi"/>
          <w:sz w:val="20"/>
          <w:szCs w:val="20"/>
        </w:rPr>
        <w:t>Lolans</w:t>
      </w:r>
      <w:proofErr w:type="spellEnd"/>
      <w:r w:rsidRPr="005207F2">
        <w:rPr>
          <w:rFonts w:cstheme="minorHAnsi"/>
          <w:sz w:val="20"/>
          <w:szCs w:val="20"/>
        </w:rPr>
        <w:t xml:space="preserve"> K, </w:t>
      </w:r>
      <w:proofErr w:type="spellStart"/>
      <w:r w:rsidRPr="005207F2">
        <w:rPr>
          <w:rFonts w:cstheme="minorHAnsi"/>
          <w:sz w:val="20"/>
          <w:szCs w:val="20"/>
        </w:rPr>
        <w:t>Haffenreffer</w:t>
      </w:r>
      <w:proofErr w:type="spellEnd"/>
      <w:r w:rsidRPr="005207F2">
        <w:rPr>
          <w:rFonts w:cstheme="minorHAnsi"/>
          <w:sz w:val="20"/>
          <w:szCs w:val="20"/>
        </w:rPr>
        <w:t xml:space="preserve"> K, et al. Chlorhexidine and mupirocin susceptibility of methicillin-resistant </w:t>
      </w:r>
      <w:r w:rsidRPr="005207F2">
        <w:rPr>
          <w:rFonts w:cstheme="minorHAnsi"/>
          <w:i/>
          <w:iCs/>
          <w:sz w:val="20"/>
          <w:szCs w:val="20"/>
        </w:rPr>
        <w:t>Staphylococcus aureus</w:t>
      </w:r>
      <w:r w:rsidRPr="005207F2">
        <w:rPr>
          <w:rFonts w:cstheme="minorHAnsi"/>
          <w:sz w:val="20"/>
          <w:szCs w:val="20"/>
        </w:rPr>
        <w:t xml:space="preserve"> isolates in the REDUCE-MRSA trial. J Clin </w:t>
      </w:r>
      <w:proofErr w:type="spellStart"/>
      <w:r w:rsidRPr="005207F2">
        <w:rPr>
          <w:rFonts w:cstheme="minorHAnsi"/>
          <w:sz w:val="20"/>
          <w:szCs w:val="20"/>
        </w:rPr>
        <w:t>Microbiol</w:t>
      </w:r>
      <w:proofErr w:type="spellEnd"/>
      <w:r w:rsidRPr="005207F2">
        <w:rPr>
          <w:rFonts w:cstheme="minorHAnsi"/>
          <w:sz w:val="20"/>
          <w:szCs w:val="20"/>
        </w:rPr>
        <w:t>. 2016 Nov;54(11):2735-2742. PMID: 27558180.</w:t>
      </w:r>
      <w:r w:rsidR="008B6918">
        <w:rPr>
          <w:rFonts w:cstheme="minorHAnsi"/>
          <w:sz w:val="20"/>
          <w:szCs w:val="20"/>
        </w:rPr>
        <w:tab/>
      </w:r>
    </w:p>
    <w:p w14:paraId="406AAC15" w14:textId="77777777" w:rsidR="00FB7A11" w:rsidRDefault="00FB7A11" w:rsidP="00FB7A11">
      <w:pPr>
        <w:spacing w:after="60" w:line="240" w:lineRule="auto"/>
        <w:rPr>
          <w:rFonts w:cstheme="minorHAnsi"/>
          <w:sz w:val="20"/>
          <w:szCs w:val="20"/>
        </w:rPr>
      </w:pPr>
    </w:p>
    <w:p w14:paraId="77DEC3C3" w14:textId="77777777" w:rsidR="00FB7A11" w:rsidRDefault="00FB7A11" w:rsidP="00FB7A11">
      <w:pPr>
        <w:spacing w:after="60" w:line="240" w:lineRule="auto"/>
        <w:rPr>
          <w:rFonts w:cstheme="minorHAnsi"/>
          <w:sz w:val="20"/>
          <w:szCs w:val="20"/>
        </w:rPr>
      </w:pPr>
    </w:p>
    <w:p w14:paraId="4FFB3942" w14:textId="77777777" w:rsidR="00FB7A11" w:rsidRDefault="00FB7A11" w:rsidP="00FB7A11">
      <w:pPr>
        <w:spacing w:after="60" w:line="240" w:lineRule="auto"/>
        <w:rPr>
          <w:rFonts w:cstheme="minorHAnsi"/>
          <w:sz w:val="20"/>
          <w:szCs w:val="20"/>
        </w:rPr>
      </w:pPr>
    </w:p>
    <w:p w14:paraId="1F9DA46B" w14:textId="77777777" w:rsidR="00FB7A11" w:rsidRDefault="00FB7A11" w:rsidP="00FB7A11">
      <w:pPr>
        <w:spacing w:after="60" w:line="240" w:lineRule="auto"/>
        <w:rPr>
          <w:rFonts w:cstheme="minorHAnsi"/>
          <w:sz w:val="20"/>
          <w:szCs w:val="20"/>
        </w:rPr>
      </w:pPr>
    </w:p>
    <w:p w14:paraId="4B62DFF3" w14:textId="78D6C2EA" w:rsidR="00FB7A11" w:rsidRDefault="00134B8C" w:rsidP="00FB7A11">
      <w:pPr>
        <w:spacing w:after="60" w:line="240" w:lineRule="auto"/>
        <w:rPr>
          <w:rFonts w:cstheme="minorHAnsi"/>
          <w:sz w:val="20"/>
          <w:szCs w:val="20"/>
        </w:rPr>
      </w:pPr>
      <w:r>
        <w:rPr>
          <w:rFonts w:cstheme="minorHAnsi"/>
          <w:sz w:val="20"/>
          <w:szCs w:val="20"/>
        </w:rPr>
        <w:t xml:space="preserve">                                                                             </w:t>
      </w:r>
      <w:r w:rsidRPr="005207F2">
        <w:rPr>
          <w:rFonts w:cstheme="minorHAnsi"/>
          <w:noProof/>
        </w:rPr>
        <mc:AlternateContent>
          <mc:Choice Requires="wps">
            <w:drawing>
              <wp:inline distT="0" distB="0" distL="0" distR="0" wp14:anchorId="78752791" wp14:editId="417BDC83">
                <wp:extent cx="4587240" cy="828040"/>
                <wp:effectExtent l="0" t="0" r="3810" b="1270"/>
                <wp:docPr id="3" name="Text Box 3"/>
                <wp:cNvGraphicFramePr/>
                <a:graphic xmlns:a="http://schemas.openxmlformats.org/drawingml/2006/main">
                  <a:graphicData uri="http://schemas.microsoft.com/office/word/2010/wordprocessingShape">
                    <wps:wsp>
                      <wps:cNvSpPr txBox="1"/>
                      <wps:spPr>
                        <a:xfrm>
                          <a:off x="0" y="0"/>
                          <a:ext cx="4587240" cy="828040"/>
                        </a:xfrm>
                        <a:prstGeom prst="rect">
                          <a:avLst/>
                        </a:prstGeom>
                        <a:solidFill>
                          <a:schemeClr val="accent2">
                            <a:lumMod val="20000"/>
                            <a:lumOff val="80000"/>
                          </a:schemeClr>
                        </a:solidFill>
                        <a:ln w="6350">
                          <a:noFill/>
                        </a:ln>
                      </wps:spPr>
                      <wps:txbx>
                        <w:txbxContent>
                          <w:p w14:paraId="009C05D4" w14:textId="77777777" w:rsidR="00134B8C" w:rsidRPr="009122EA" w:rsidRDefault="00134B8C" w:rsidP="00134B8C">
                            <w:pPr>
                              <w:pStyle w:val="Footer"/>
                              <w:spacing w:after="0"/>
                              <w:rPr>
                                <w:rFonts w:cstheme="minorHAnsi"/>
                                <w:sz w:val="20"/>
                                <w:szCs w:val="20"/>
                              </w:rPr>
                            </w:pPr>
                            <w:r w:rsidRPr="009122EA">
                              <w:rPr>
                                <w:rFonts w:cstheme="minorHAnsi"/>
                                <w:b/>
                                <w:sz w:val="20"/>
                                <w:szCs w:val="20"/>
                              </w:rPr>
                              <w:t>Adapted from</w:t>
                            </w:r>
                            <w:r w:rsidRPr="009122EA">
                              <w:rPr>
                                <w:rFonts w:cstheme="minorHAnsi"/>
                                <w:sz w:val="20"/>
                                <w:szCs w:val="20"/>
                              </w:rPr>
                              <w:t xml:space="preserve"> “Universal ICU Decolonization: An Enhanced Protocol”:</w:t>
                            </w:r>
                          </w:p>
                          <w:p w14:paraId="7C983D6D" w14:textId="77777777" w:rsidR="00134B8C" w:rsidRPr="009122EA" w:rsidRDefault="00134B8C" w:rsidP="00134B8C">
                            <w:pPr>
                              <w:pStyle w:val="Footer"/>
                              <w:spacing w:after="0"/>
                              <w:rPr>
                                <w:rFonts w:cstheme="minorHAnsi"/>
                                <w:i/>
                                <w:iCs/>
                                <w:sz w:val="20"/>
                                <w:szCs w:val="20"/>
                              </w:rPr>
                            </w:pPr>
                            <w:hyperlink r:id="rId29" w:history="1">
                              <w:r w:rsidRPr="009122EA">
                                <w:rPr>
                                  <w:rStyle w:val="Hyperlink"/>
                                  <w:rFonts w:cstheme="minorHAnsi"/>
                                  <w:i/>
                                  <w:iCs/>
                                  <w:sz w:val="20"/>
                                  <w:szCs w:val="20"/>
                                </w:rPr>
                                <w:t>https://www.ahrq.gov/hai/universal-icu-decolonization/index.html</w:t>
                              </w:r>
                            </w:hyperlink>
                            <w:r w:rsidRPr="009122EA">
                              <w:rPr>
                                <w:rFonts w:cstheme="minorHAnsi"/>
                                <w:i/>
                                <w:iCs/>
                                <w:sz w:val="20"/>
                                <w:szCs w:val="20"/>
                              </w:rPr>
                              <w:t xml:space="preserve"> </w:t>
                            </w:r>
                          </w:p>
                          <w:p w14:paraId="77798443" w14:textId="77777777" w:rsidR="00134B8C" w:rsidRPr="009122EA" w:rsidRDefault="00134B8C" w:rsidP="00134B8C">
                            <w:pPr>
                              <w:pStyle w:val="Footer"/>
                              <w:spacing w:after="0"/>
                              <w:rPr>
                                <w:rFonts w:cstheme="minorHAnsi"/>
                                <w:sz w:val="20"/>
                                <w:szCs w:val="20"/>
                              </w:rPr>
                            </w:pPr>
                            <w:r w:rsidRPr="009122EA">
                              <w:rPr>
                                <w:rFonts w:cstheme="minorHAnsi"/>
                                <w:sz w:val="20"/>
                                <w:szCs w:val="20"/>
                              </w:rPr>
                              <w:t>and</w:t>
                            </w:r>
                          </w:p>
                          <w:p w14:paraId="0BD3ED50" w14:textId="77777777" w:rsidR="00134B8C" w:rsidRPr="009122EA" w:rsidRDefault="00134B8C" w:rsidP="00134B8C">
                            <w:pPr>
                              <w:pStyle w:val="Footer"/>
                              <w:spacing w:after="0"/>
                              <w:rPr>
                                <w:rFonts w:cstheme="minorHAnsi"/>
                                <w:sz w:val="20"/>
                                <w:szCs w:val="20"/>
                              </w:rPr>
                            </w:pPr>
                            <w:r w:rsidRPr="009122EA">
                              <w:rPr>
                                <w:rFonts w:cstheme="minorHAnsi"/>
                                <w:sz w:val="20"/>
                                <w:szCs w:val="20"/>
                              </w:rPr>
                              <w:t>“Toolkit for Decolonization of Non-ICU Patients With Devices”:</w:t>
                            </w:r>
                          </w:p>
                          <w:p w14:paraId="5C43C9FD" w14:textId="77777777" w:rsidR="00134B8C" w:rsidRPr="009122EA" w:rsidRDefault="00134B8C" w:rsidP="00134B8C">
                            <w:pPr>
                              <w:pStyle w:val="Footer"/>
                              <w:spacing w:after="0"/>
                              <w:rPr>
                                <w:rFonts w:cstheme="minorHAnsi"/>
                                <w:sz w:val="20"/>
                                <w:szCs w:val="20"/>
                              </w:rPr>
                            </w:pPr>
                            <w:hyperlink r:id="rId30" w:history="1">
                              <w:r w:rsidRPr="009122EA">
                                <w:rPr>
                                  <w:rStyle w:val="Hyperlink"/>
                                  <w:rFonts w:cstheme="minorHAnsi"/>
                                  <w:i/>
                                  <w:iCs/>
                                  <w:sz w:val="20"/>
                                  <w:szCs w:val="20"/>
                                </w:rPr>
                                <w:t>https://www.ahrq.gov/hai/tools/abate/index.html</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type w14:anchorId="78752791" id="_x0000_t202" coordsize="21600,21600" o:spt="202" path="m,l,21600r21600,l21600,xe">
                <v:stroke joinstyle="miter"/>
                <v:path gradientshapeok="t" o:connecttype="rect"/>
              </v:shapetype>
              <v:shape id="Text Box 3" o:spid="_x0000_s1026" type="#_x0000_t202" style="width:361.2pt;height:6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" fillcolor="#fef7cb [661]" stroked="f" strokeweight=".5pt">
                <v:textbox style="mso-fit-shape-to-text:t">
                  <w:txbxContent>
                    <w:p w14:paraId="009C05D4" w14:textId="77777777" w:rsidR="00134B8C" w:rsidRPr="009122EA" w:rsidRDefault="00134B8C" w:rsidP="00134B8C">
                      <w:pPr>
                        <w:pStyle w:val="Footer"/>
                        <w:spacing w:after="0"/>
                        <w:rPr>
                          <w:rFonts w:cstheme="minorHAnsi"/>
                          <w:sz w:val="20"/>
                          <w:szCs w:val="20"/>
                        </w:rPr>
                      </w:pPr>
                      <w:r w:rsidRPr="009122EA">
                        <w:rPr>
                          <w:rFonts w:cstheme="minorHAnsi"/>
                          <w:b/>
                          <w:sz w:val="20"/>
                          <w:szCs w:val="20"/>
                        </w:rPr>
                        <w:t>Adapted from</w:t>
                      </w:r>
                      <w:r w:rsidRPr="009122EA">
                        <w:rPr>
                          <w:rFonts w:cstheme="minorHAnsi"/>
                          <w:sz w:val="20"/>
                          <w:szCs w:val="20"/>
                        </w:rPr>
                        <w:t xml:space="preserve"> “Universal ICU Decolonization: An Enhanced Protocol”:</w:t>
                      </w:r>
                    </w:p>
                    <w:p w14:paraId="7C983D6D" w14:textId="77777777" w:rsidR="00134B8C" w:rsidRPr="009122EA" w:rsidRDefault="00134B8C" w:rsidP="00134B8C">
                      <w:pPr>
                        <w:pStyle w:val="Footer"/>
                        <w:spacing w:after="0"/>
                        <w:rPr>
                          <w:rFonts w:cstheme="minorHAnsi"/>
                          <w:i/>
                          <w:iCs/>
                          <w:sz w:val="20"/>
                          <w:szCs w:val="20"/>
                        </w:rPr>
                      </w:pPr>
                      <w:hyperlink r:id="rId31" w:history="1">
                        <w:r w:rsidRPr="009122EA">
                          <w:rPr>
                            <w:rStyle w:val="Hyperlink"/>
                            <w:rFonts w:cstheme="minorHAnsi"/>
                            <w:i/>
                            <w:iCs/>
                            <w:sz w:val="20"/>
                            <w:szCs w:val="20"/>
                          </w:rPr>
                          <w:t>https://www.ahrq.gov/hai/universal-icu-decolonization/index.html</w:t>
                        </w:r>
                      </w:hyperlink>
                      <w:r w:rsidRPr="009122EA">
                        <w:rPr>
                          <w:rFonts w:cstheme="minorHAnsi"/>
                          <w:i/>
                          <w:iCs/>
                          <w:sz w:val="20"/>
                          <w:szCs w:val="20"/>
                        </w:rPr>
                        <w:t xml:space="preserve"> </w:t>
                      </w:r>
                    </w:p>
                    <w:p w14:paraId="77798443" w14:textId="77777777" w:rsidR="00134B8C" w:rsidRPr="009122EA" w:rsidRDefault="00134B8C" w:rsidP="00134B8C">
                      <w:pPr>
                        <w:pStyle w:val="Footer"/>
                        <w:spacing w:after="0"/>
                        <w:rPr>
                          <w:rFonts w:cstheme="minorHAnsi"/>
                          <w:sz w:val="20"/>
                          <w:szCs w:val="20"/>
                        </w:rPr>
                      </w:pPr>
                      <w:r w:rsidRPr="009122EA">
                        <w:rPr>
                          <w:rFonts w:cstheme="minorHAnsi"/>
                          <w:sz w:val="20"/>
                          <w:szCs w:val="20"/>
                        </w:rPr>
                        <w:t>and</w:t>
                      </w:r>
                    </w:p>
                    <w:p w14:paraId="0BD3ED50" w14:textId="77777777" w:rsidR="00134B8C" w:rsidRPr="009122EA" w:rsidRDefault="00134B8C" w:rsidP="00134B8C">
                      <w:pPr>
                        <w:pStyle w:val="Footer"/>
                        <w:spacing w:after="0"/>
                        <w:rPr>
                          <w:rFonts w:cstheme="minorHAnsi"/>
                          <w:sz w:val="20"/>
                          <w:szCs w:val="20"/>
                        </w:rPr>
                      </w:pPr>
                      <w:r w:rsidRPr="009122EA">
                        <w:rPr>
                          <w:rFonts w:cstheme="minorHAnsi"/>
                          <w:sz w:val="20"/>
                          <w:szCs w:val="20"/>
                        </w:rPr>
                        <w:t>“Toolkit for Decolonization of Non-ICU Patients With Devices”:</w:t>
                      </w:r>
                    </w:p>
                    <w:p w14:paraId="5C43C9FD" w14:textId="77777777" w:rsidR="00134B8C" w:rsidRPr="009122EA" w:rsidRDefault="00134B8C" w:rsidP="00134B8C">
                      <w:pPr>
                        <w:pStyle w:val="Footer"/>
                        <w:spacing w:after="0"/>
                        <w:rPr>
                          <w:rFonts w:cstheme="minorHAnsi"/>
                          <w:sz w:val="20"/>
                          <w:szCs w:val="20"/>
                        </w:rPr>
                      </w:pPr>
                      <w:hyperlink r:id="rId32" w:history="1">
                        <w:r w:rsidRPr="009122EA">
                          <w:rPr>
                            <w:rStyle w:val="Hyperlink"/>
                            <w:rFonts w:cstheme="minorHAnsi"/>
                            <w:i/>
                            <w:iCs/>
                            <w:sz w:val="20"/>
                            <w:szCs w:val="20"/>
                          </w:rPr>
                          <w:t>https://www.ahrq.gov/hai/tools/abate/index.html</w:t>
                        </w:r>
                      </w:hyperlink>
                    </w:p>
                  </w:txbxContent>
                </v:textbox>
                <w10:anchorlock/>
              </v:shape>
            </w:pict>
          </mc:Fallback>
        </mc:AlternateContent>
      </w:r>
    </w:p>
    <w:p w14:paraId="5C5E9B0D" w14:textId="77777777" w:rsidR="00FB7A11" w:rsidRDefault="00FB7A11" w:rsidP="00FB7A11">
      <w:pPr>
        <w:spacing w:after="60" w:line="240" w:lineRule="auto"/>
        <w:rPr>
          <w:rFonts w:cstheme="minorHAnsi"/>
          <w:sz w:val="20"/>
          <w:szCs w:val="20"/>
        </w:rPr>
      </w:pPr>
    </w:p>
    <w:p w14:paraId="087CD10D" w14:textId="77777777" w:rsidR="00FB7A11" w:rsidRDefault="00FB7A11" w:rsidP="00FB7A11">
      <w:pPr>
        <w:spacing w:after="60" w:line="240" w:lineRule="auto"/>
        <w:rPr>
          <w:rFonts w:cstheme="minorHAnsi"/>
          <w:sz w:val="20"/>
          <w:szCs w:val="20"/>
        </w:rPr>
      </w:pPr>
    </w:p>
    <w:p w14:paraId="35034ED5" w14:textId="77777777" w:rsidR="00134B8C" w:rsidRDefault="00134B8C" w:rsidP="00FB7A11">
      <w:pPr>
        <w:spacing w:after="60" w:line="240" w:lineRule="auto"/>
        <w:rPr>
          <w:rFonts w:cstheme="minorHAnsi"/>
          <w:sz w:val="20"/>
          <w:szCs w:val="20"/>
        </w:rPr>
      </w:pPr>
    </w:p>
    <w:p w14:paraId="5F2FE2C2" w14:textId="77777777" w:rsidR="00134B8C" w:rsidRDefault="00134B8C" w:rsidP="00FB7A11">
      <w:pPr>
        <w:spacing w:after="60" w:line="240" w:lineRule="auto"/>
        <w:rPr>
          <w:rFonts w:cstheme="minorHAnsi"/>
          <w:sz w:val="20"/>
          <w:szCs w:val="20"/>
        </w:rPr>
      </w:pPr>
    </w:p>
    <w:p w14:paraId="5A8BC661" w14:textId="07DC7082" w:rsidR="00FB7A11" w:rsidRDefault="00134B8C" w:rsidP="00134B8C">
      <w:pPr>
        <w:spacing w:after="0" w:line="240" w:lineRule="auto"/>
        <w:jc w:val="right"/>
        <w:rPr>
          <w:rFonts w:cstheme="minorHAnsi"/>
          <w:sz w:val="20"/>
          <w:szCs w:val="20"/>
        </w:rPr>
      </w:pPr>
      <w:r>
        <w:rPr>
          <w:rFonts w:cstheme="minorHAnsi"/>
          <w:sz w:val="20"/>
          <w:szCs w:val="20"/>
        </w:rPr>
        <w:t>AHRQ Pub. No. 25-0007</w:t>
      </w:r>
    </w:p>
    <w:p w14:paraId="008DF553" w14:textId="0E03A865" w:rsidR="00FB7A11" w:rsidRPr="00236C62" w:rsidRDefault="00134B8C" w:rsidP="00785108">
      <w:pPr>
        <w:spacing w:after="0" w:line="240" w:lineRule="auto"/>
        <w:jc w:val="right"/>
        <w:rPr>
          <w:rFonts w:cstheme="minorHAnsi"/>
          <w:sz w:val="20"/>
          <w:szCs w:val="20"/>
        </w:rPr>
      </w:pPr>
      <w:r>
        <w:rPr>
          <w:rFonts w:cstheme="minorHAnsi"/>
          <w:sz w:val="20"/>
          <w:szCs w:val="20"/>
        </w:rPr>
        <w:t>October 2024</w:t>
      </w:r>
    </w:p>
    <w:sectPr w:rsidR="00FB7A11" w:rsidRPr="00236C62" w:rsidSect="00A8307E">
      <w:footerReference w:type="default" r:id="rId33"/>
      <w:headerReference w:type="first" r:id="rId34"/>
      <w:footerReference w:type="first" r:id="rId35"/>
      <w:type w:val="continuous"/>
      <w:pgSz w:w="12240" w:h="15840"/>
      <w:pgMar w:top="720" w:right="720" w:bottom="720" w:left="72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01912" w14:textId="77777777" w:rsidR="007171F4" w:rsidRDefault="007171F4" w:rsidP="00213294">
      <w:r>
        <w:separator/>
      </w:r>
    </w:p>
  </w:endnote>
  <w:endnote w:type="continuationSeparator" w:id="0">
    <w:p w14:paraId="2D954077" w14:textId="77777777" w:rsidR="007171F4" w:rsidRDefault="007171F4" w:rsidP="00213294">
      <w:r>
        <w:continuationSeparator/>
      </w:r>
    </w:p>
  </w:endnote>
  <w:endnote w:type="continuationNotice" w:id="1">
    <w:p w14:paraId="3954489D" w14:textId="77777777" w:rsidR="007171F4" w:rsidRDefault="007171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DDE03" w14:textId="3DB27C91" w:rsidR="008355F5" w:rsidRDefault="00AD602B">
    <w:pPr>
      <w:pStyle w:val="Footer"/>
    </w:pPr>
    <w:r>
      <w:rPr>
        <w:noProof/>
      </w:rPr>
      <mc:AlternateContent>
        <mc:Choice Requires="wps">
          <w:drawing>
            <wp:anchor distT="45720" distB="45720" distL="114300" distR="114300" simplePos="0" relativeHeight="251658246" behindDoc="0" locked="0" layoutInCell="1" allowOverlap="1" wp14:anchorId="028D5949" wp14:editId="415F81DB">
              <wp:simplePos x="0" y="0"/>
              <wp:positionH relativeFrom="rightMargin">
                <wp:posOffset>-2060575</wp:posOffset>
              </wp:positionH>
              <wp:positionV relativeFrom="page">
                <wp:posOffset>9610139</wp:posOffset>
              </wp:positionV>
              <wp:extent cx="2011680" cy="1404620"/>
              <wp:effectExtent l="0" t="0" r="7620" b="5080"/>
              <wp:wrapNone/>
              <wp:docPr id="9209332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1404620"/>
                      </a:xfrm>
                      <a:prstGeom prst="rect">
                        <a:avLst/>
                      </a:prstGeom>
                      <a:noFill/>
                      <a:ln w="9525">
                        <a:noFill/>
                        <a:miter lim="800000"/>
                        <a:headEnd/>
                        <a:tailEnd/>
                      </a:ln>
                    </wps:spPr>
                    <wps:txbx>
                      <w:txbxContent>
                        <w:p w14:paraId="731E9121" w14:textId="77777777" w:rsidR="00862A26" w:rsidRDefault="00DE5E6C" w:rsidP="00F63CAD">
                          <w:pPr>
                            <w:pStyle w:val="FooterText0"/>
                            <w:jc w:val="right"/>
                          </w:pPr>
                          <w:r>
                            <w:t xml:space="preserve">Decision-Making </w:t>
                          </w:r>
                        </w:p>
                        <w:p w14:paraId="093763F9" w14:textId="59AD9449" w:rsidR="00073E9C" w:rsidRPr="00F91E7D" w:rsidRDefault="00DE5E6C" w:rsidP="00F63CAD">
                          <w:pPr>
                            <w:pStyle w:val="FooterText0"/>
                            <w:jc w:val="right"/>
                            <w:rPr>
                              <w:b/>
                            </w:rPr>
                          </w:pPr>
                          <w:r>
                            <w:t>&amp; Readiness</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type w14:anchorId="028D5949" id="_x0000_t202" coordsize="21600,21600" o:spt="202" path="m,l,21600r21600,l21600,xe">
              <v:stroke joinstyle="miter"/>
              <v:path gradientshapeok="t" o:connecttype="rect"/>
            </v:shapetype>
            <v:shape id="Text Box 2" o:spid="_x0000_s1027" type="#_x0000_t202" style="position:absolute;margin-left:-162.25pt;margin-top:756.7pt;width:158.4pt;height:110.6pt;z-index:251658246;visibility:visible;mso-wrap-style:square;mso-width-percent:0;mso-height-percent:200;mso-wrap-distance-left:9pt;mso-wrap-distance-top:3.6pt;mso-wrap-distance-right:9pt;mso-wrap-distance-bottom:3.6pt;mso-position-horizontal:absolute;mso-position-horizontal-relative:righ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" filled="f" stroked="f">
              <v:textbox style="mso-fit-shape-to-text:t" inset="0,0,0,0">
                <w:txbxContent>
                  <w:p w14:paraId="731E9121" w14:textId="77777777" w:rsidR="00862A26" w:rsidRDefault="00DE5E6C" w:rsidP="00F63CAD">
                    <w:pPr>
                      <w:pStyle w:val="FooterText0"/>
                      <w:jc w:val="right"/>
                    </w:pPr>
                    <w:r>
                      <w:t xml:space="preserve">Decision-Making </w:t>
                    </w:r>
                  </w:p>
                  <w:p w14:paraId="093763F9" w14:textId="59AD9449" w:rsidR="00073E9C" w:rsidRPr="00F91E7D" w:rsidRDefault="00DE5E6C" w:rsidP="00F63CAD">
                    <w:pPr>
                      <w:pStyle w:val="FooterText0"/>
                      <w:jc w:val="right"/>
                      <w:rPr>
                        <w:b/>
                      </w:rPr>
                    </w:pPr>
                    <w:r>
                      <w:t>&amp; Readiness</w:t>
                    </w:r>
                  </w:p>
                </w:txbxContent>
              </v:textbox>
              <w10:wrap anchorx="margin" anchory="page"/>
            </v:shape>
          </w:pict>
        </mc:Fallback>
      </mc:AlternateContent>
    </w:r>
    <w:r w:rsidR="0092541D">
      <w:rPr>
        <w:noProof/>
      </w:rPr>
      <mc:AlternateContent>
        <mc:Choice Requires="wps">
          <w:drawing>
            <wp:anchor distT="45720" distB="45720" distL="114300" distR="114300" simplePos="0" relativeHeight="251658241" behindDoc="0" locked="0" layoutInCell="1" allowOverlap="1" wp14:anchorId="0C3EFC0E" wp14:editId="03619AD4">
              <wp:simplePos x="0" y="0"/>
              <wp:positionH relativeFrom="rightMargin">
                <wp:posOffset>-41226</wp:posOffset>
              </wp:positionH>
              <wp:positionV relativeFrom="page">
                <wp:posOffset>9603105</wp:posOffset>
              </wp:positionV>
              <wp:extent cx="232410" cy="1404620"/>
              <wp:effectExtent l="0" t="0" r="0" b="5080"/>
              <wp:wrapNone/>
              <wp:docPr id="9697256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404620"/>
                      </a:xfrm>
                      <a:prstGeom prst="rect">
                        <a:avLst/>
                      </a:prstGeom>
                      <a:noFill/>
                      <a:ln w="9525">
                        <a:noFill/>
                        <a:miter lim="800000"/>
                        <a:headEnd/>
                        <a:tailEnd/>
                      </a:ln>
                    </wps:spPr>
                    <wps:txbx>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0C3EFC0E" id="_x0000_s1028" type="#_x0000_t202" style="position:absolute;margin-left:-3.25pt;margin-top:756.15pt;width:18.3pt;height:110.6pt;z-index:251658241;visibility:visible;mso-wrap-style:square;mso-width-percent:0;mso-height-percent:200;mso-wrap-distance-left:9pt;mso-wrap-distance-top:3.6pt;mso-wrap-distance-right:9pt;mso-wrap-distance-bottom:3.6pt;mso-position-horizontal:absolute;mso-position-horizontal-relative:righ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" filled="f" stroked="f">
              <v:textbox style="mso-fit-shape-to-text:t" inset="0,0,0,0">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0" behindDoc="0" locked="0" layoutInCell="1" allowOverlap="1" wp14:anchorId="74F14F38" wp14:editId="2674E7A8">
              <wp:simplePos x="0" y="0"/>
              <wp:positionH relativeFrom="leftMargin">
                <wp:posOffset>457200</wp:posOffset>
              </wp:positionH>
              <wp:positionV relativeFrom="page">
                <wp:posOffset>9598025</wp:posOffset>
              </wp:positionV>
              <wp:extent cx="3483864" cy="1404620"/>
              <wp:effectExtent l="0" t="0" r="2540" b="508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3864" cy="1404620"/>
                      </a:xfrm>
                      <a:prstGeom prst="rect">
                        <a:avLst/>
                      </a:prstGeom>
                      <a:solidFill>
                        <a:srgbClr val="FFFFFF"/>
                      </a:solidFill>
                      <a:ln w="9525">
                        <a:noFill/>
                        <a:miter lim="800000"/>
                        <a:headEnd/>
                        <a:tailEnd/>
                      </a:ln>
                    </wps:spPr>
                    <wps:txbx>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74F14F38" id="_x0000_s1029" type="#_x0000_t202" style="position:absolute;margin-left:36pt;margin-top:755.75pt;width:274.3pt;height:110.6pt;z-index:251658240;visibility:visible;mso-wrap-style:square;mso-width-percent:0;mso-height-percent:200;mso-wrap-distance-left:9pt;mso-wrap-distance-top:3.6pt;mso-wrap-distance-right:9pt;mso-wrap-distance-bottom:3.6pt;mso-position-horizontal:absolute;mso-position-horizontal-relative:lef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" stroked="f">
              <v:textbox style="mso-fit-shape-to-text:t" inset="0,0,0,0">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v:textbox>
              <w10:wrap anchorx="margin" anchory="page"/>
            </v:shape>
          </w:pict>
        </mc:Fallback>
      </mc:AlternateContent>
    </w:r>
    <w:r w:rsidR="00A7731C">
      <w:rPr>
        <w:noProof/>
      </w:rPr>
      <w:drawing>
        <wp:anchor distT="0" distB="0" distL="114300" distR="114300" simplePos="0" relativeHeight="251662342" behindDoc="1" locked="1" layoutInCell="1" allowOverlap="1" wp14:anchorId="39503AA2" wp14:editId="0D72DB52">
          <wp:simplePos x="0" y="0"/>
          <wp:positionH relativeFrom="page">
            <wp:align>right</wp:align>
          </wp:positionH>
          <wp:positionV relativeFrom="page">
            <wp:align>bottom</wp:align>
          </wp:positionV>
          <wp:extent cx="2743200" cy="777240"/>
          <wp:effectExtent l="0" t="0" r="0" b="3810"/>
          <wp:wrapNone/>
          <wp:docPr id="1299399194"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399194"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43200" cy="77724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5CF02" w14:textId="77777777" w:rsidR="00A10EE9" w:rsidRDefault="00A10EE9" w:rsidP="00A10EE9">
    <w:pPr>
      <w:pStyle w:val="Footer"/>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D95B7" w14:textId="77777777" w:rsidR="007171F4" w:rsidRDefault="007171F4" w:rsidP="00213294">
      <w:r>
        <w:separator/>
      </w:r>
    </w:p>
  </w:footnote>
  <w:footnote w:type="continuationSeparator" w:id="0">
    <w:p w14:paraId="64BC19CA" w14:textId="77777777" w:rsidR="007171F4" w:rsidRDefault="007171F4" w:rsidP="00213294">
      <w:r>
        <w:continuationSeparator/>
      </w:r>
    </w:p>
  </w:footnote>
  <w:footnote w:type="continuationNotice" w:id="1">
    <w:p w14:paraId="7D81203F" w14:textId="77777777" w:rsidR="007171F4" w:rsidRDefault="007171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0DB7" w14:textId="2F246B54" w:rsidR="00B34235" w:rsidRDefault="00730378" w:rsidP="00E92A41">
    <w:pPr>
      <w:pStyle w:val="HeaderTitle"/>
    </w:pPr>
    <w:r>
      <w:rPr>
        <w:noProof/>
      </w:rPr>
      <w:drawing>
        <wp:anchor distT="0" distB="0" distL="114300" distR="114300" simplePos="0" relativeHeight="251660294" behindDoc="1" locked="1" layoutInCell="1" allowOverlap="1" wp14:anchorId="49F8F822" wp14:editId="34432DBC">
          <wp:simplePos x="0" y="0"/>
          <wp:positionH relativeFrom="page">
            <wp:align>left</wp:align>
          </wp:positionH>
          <wp:positionV relativeFrom="page">
            <wp:align>top</wp:align>
          </wp:positionV>
          <wp:extent cx="7772400" cy="10058400"/>
          <wp:effectExtent l="0" t="0" r="0" b="0"/>
          <wp:wrapNone/>
          <wp:docPr id="34304537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045375"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r w:rsidR="001F701E" w:rsidRPr="00412634">
      <w:t xml:space="preserve">AHRQ Safety </w:t>
    </w:r>
    <w:r w:rsidR="001F701E" w:rsidRPr="00E92A41">
      <w:t>Program</w:t>
    </w:r>
    <w:r w:rsidR="001F701E" w:rsidRPr="00412634">
      <w:t xml:space="preserve"> for MRSA Prevention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A7941"/>
    <w:multiLevelType w:val="hybridMultilevel"/>
    <w:tmpl w:val="2AE88F92"/>
    <w:lvl w:ilvl="0" w:tplc="04090001">
      <w:start w:val="1"/>
      <w:numFmt w:val="bullet"/>
      <w:lvlText w:val=""/>
      <w:lvlJc w:val="left"/>
      <w:pPr>
        <w:ind w:left="370" w:hanging="360"/>
      </w:pPr>
      <w:rPr>
        <w:rFonts w:ascii="Symbol" w:hAnsi="Symbol" w:hint="default"/>
      </w:rPr>
    </w:lvl>
    <w:lvl w:ilvl="1" w:tplc="04090003">
      <w:start w:val="1"/>
      <w:numFmt w:val="bullet"/>
      <w:lvlText w:val="o"/>
      <w:lvlJc w:val="left"/>
      <w:pPr>
        <w:ind w:left="1090" w:hanging="360"/>
      </w:pPr>
      <w:rPr>
        <w:rFonts w:ascii="Courier New" w:hAnsi="Courier New" w:cs="Courier New" w:hint="default"/>
      </w:rPr>
    </w:lvl>
    <w:lvl w:ilvl="2" w:tplc="04090005">
      <w:start w:val="1"/>
      <w:numFmt w:val="bullet"/>
      <w:lvlText w:val=""/>
      <w:lvlJc w:val="left"/>
      <w:pPr>
        <w:ind w:left="1810" w:hanging="360"/>
      </w:pPr>
      <w:rPr>
        <w:rFonts w:ascii="Wingdings" w:hAnsi="Wingdings" w:hint="default"/>
      </w:rPr>
    </w:lvl>
    <w:lvl w:ilvl="3" w:tplc="04090001">
      <w:start w:val="1"/>
      <w:numFmt w:val="bullet"/>
      <w:lvlText w:val=""/>
      <w:lvlJc w:val="left"/>
      <w:pPr>
        <w:ind w:left="2530" w:hanging="360"/>
      </w:pPr>
      <w:rPr>
        <w:rFonts w:ascii="Symbol" w:hAnsi="Symbol" w:hint="default"/>
      </w:rPr>
    </w:lvl>
    <w:lvl w:ilvl="4" w:tplc="04090003">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1" w15:restartNumberingAfterBreak="0">
    <w:nsid w:val="046C538C"/>
    <w:multiLevelType w:val="hybridMultilevel"/>
    <w:tmpl w:val="BD40C354"/>
    <w:lvl w:ilvl="0" w:tplc="EBC68E56">
      <w:start w:val="1"/>
      <w:numFmt w:val="bullet"/>
      <w:lvlText w:val="•"/>
      <w:lvlJc w:val="left"/>
      <w:pPr>
        <w:tabs>
          <w:tab w:val="num" w:pos="720"/>
        </w:tabs>
        <w:ind w:left="720" w:hanging="360"/>
      </w:pPr>
      <w:rPr>
        <w:rFonts w:ascii="Arial" w:hAnsi="Arial" w:hint="default"/>
      </w:rPr>
    </w:lvl>
    <w:lvl w:ilvl="1" w:tplc="1F0C625A">
      <w:start w:val="84"/>
      <w:numFmt w:val="bullet"/>
      <w:lvlText w:val="–"/>
      <w:lvlJc w:val="left"/>
      <w:pPr>
        <w:tabs>
          <w:tab w:val="num" w:pos="1440"/>
        </w:tabs>
        <w:ind w:left="1440" w:hanging="360"/>
      </w:pPr>
      <w:rPr>
        <w:rFonts w:ascii="Arial" w:hAnsi="Arial" w:hint="default"/>
      </w:rPr>
    </w:lvl>
    <w:lvl w:ilvl="2" w:tplc="A776DA32">
      <w:start w:val="1"/>
      <w:numFmt w:val="bullet"/>
      <w:lvlText w:val="•"/>
      <w:lvlJc w:val="left"/>
      <w:pPr>
        <w:tabs>
          <w:tab w:val="num" w:pos="2160"/>
        </w:tabs>
        <w:ind w:left="2160" w:hanging="360"/>
      </w:pPr>
      <w:rPr>
        <w:rFonts w:ascii="Arial" w:hAnsi="Arial" w:hint="default"/>
      </w:rPr>
    </w:lvl>
    <w:lvl w:ilvl="3" w:tplc="345067C2" w:tentative="1">
      <w:start w:val="1"/>
      <w:numFmt w:val="bullet"/>
      <w:lvlText w:val="•"/>
      <w:lvlJc w:val="left"/>
      <w:pPr>
        <w:tabs>
          <w:tab w:val="num" w:pos="2880"/>
        </w:tabs>
        <w:ind w:left="2880" w:hanging="360"/>
      </w:pPr>
      <w:rPr>
        <w:rFonts w:ascii="Arial" w:hAnsi="Arial" w:hint="default"/>
      </w:rPr>
    </w:lvl>
    <w:lvl w:ilvl="4" w:tplc="087E3FEE" w:tentative="1">
      <w:start w:val="1"/>
      <w:numFmt w:val="bullet"/>
      <w:lvlText w:val="•"/>
      <w:lvlJc w:val="left"/>
      <w:pPr>
        <w:tabs>
          <w:tab w:val="num" w:pos="3600"/>
        </w:tabs>
        <w:ind w:left="3600" w:hanging="360"/>
      </w:pPr>
      <w:rPr>
        <w:rFonts w:ascii="Arial" w:hAnsi="Arial" w:hint="default"/>
      </w:rPr>
    </w:lvl>
    <w:lvl w:ilvl="5" w:tplc="E65E5862" w:tentative="1">
      <w:start w:val="1"/>
      <w:numFmt w:val="bullet"/>
      <w:lvlText w:val="•"/>
      <w:lvlJc w:val="left"/>
      <w:pPr>
        <w:tabs>
          <w:tab w:val="num" w:pos="4320"/>
        </w:tabs>
        <w:ind w:left="4320" w:hanging="360"/>
      </w:pPr>
      <w:rPr>
        <w:rFonts w:ascii="Arial" w:hAnsi="Arial" w:hint="default"/>
      </w:rPr>
    </w:lvl>
    <w:lvl w:ilvl="6" w:tplc="44980606" w:tentative="1">
      <w:start w:val="1"/>
      <w:numFmt w:val="bullet"/>
      <w:lvlText w:val="•"/>
      <w:lvlJc w:val="left"/>
      <w:pPr>
        <w:tabs>
          <w:tab w:val="num" w:pos="5040"/>
        </w:tabs>
        <w:ind w:left="5040" w:hanging="360"/>
      </w:pPr>
      <w:rPr>
        <w:rFonts w:ascii="Arial" w:hAnsi="Arial" w:hint="default"/>
      </w:rPr>
    </w:lvl>
    <w:lvl w:ilvl="7" w:tplc="8B6AE6BA" w:tentative="1">
      <w:start w:val="1"/>
      <w:numFmt w:val="bullet"/>
      <w:lvlText w:val="•"/>
      <w:lvlJc w:val="left"/>
      <w:pPr>
        <w:tabs>
          <w:tab w:val="num" w:pos="5760"/>
        </w:tabs>
        <w:ind w:left="5760" w:hanging="360"/>
      </w:pPr>
      <w:rPr>
        <w:rFonts w:ascii="Arial" w:hAnsi="Arial" w:hint="default"/>
      </w:rPr>
    </w:lvl>
    <w:lvl w:ilvl="8" w:tplc="13AE759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D105455"/>
    <w:multiLevelType w:val="hybridMultilevel"/>
    <w:tmpl w:val="FBE8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FF4C1E"/>
    <w:multiLevelType w:val="hybridMultilevel"/>
    <w:tmpl w:val="E2463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D7739F"/>
    <w:multiLevelType w:val="hybridMultilevel"/>
    <w:tmpl w:val="D27C7C60"/>
    <w:lvl w:ilvl="0" w:tplc="C798CE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1A0DE8"/>
    <w:multiLevelType w:val="hybridMultilevel"/>
    <w:tmpl w:val="C7FC82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86753AE"/>
    <w:multiLevelType w:val="hybridMultilevel"/>
    <w:tmpl w:val="F812578E"/>
    <w:lvl w:ilvl="0" w:tplc="697AE474">
      <w:start w:val="1"/>
      <w:numFmt w:val="bullet"/>
      <w:lvlText w:val="•"/>
      <w:lvlJc w:val="left"/>
      <w:pPr>
        <w:tabs>
          <w:tab w:val="num" w:pos="720"/>
        </w:tabs>
        <w:ind w:left="720" w:hanging="360"/>
      </w:pPr>
      <w:rPr>
        <w:rFonts w:ascii="Arial" w:hAnsi="Arial" w:hint="default"/>
      </w:rPr>
    </w:lvl>
    <w:lvl w:ilvl="1" w:tplc="FCA4A692" w:tentative="1">
      <w:start w:val="1"/>
      <w:numFmt w:val="bullet"/>
      <w:lvlText w:val="•"/>
      <w:lvlJc w:val="left"/>
      <w:pPr>
        <w:tabs>
          <w:tab w:val="num" w:pos="1440"/>
        </w:tabs>
        <w:ind w:left="1440" w:hanging="360"/>
      </w:pPr>
      <w:rPr>
        <w:rFonts w:ascii="Arial" w:hAnsi="Arial" w:hint="default"/>
      </w:rPr>
    </w:lvl>
    <w:lvl w:ilvl="2" w:tplc="C2E2DEA8" w:tentative="1">
      <w:start w:val="1"/>
      <w:numFmt w:val="bullet"/>
      <w:lvlText w:val="•"/>
      <w:lvlJc w:val="left"/>
      <w:pPr>
        <w:tabs>
          <w:tab w:val="num" w:pos="2160"/>
        </w:tabs>
        <w:ind w:left="2160" w:hanging="360"/>
      </w:pPr>
      <w:rPr>
        <w:rFonts w:ascii="Arial" w:hAnsi="Arial" w:hint="default"/>
      </w:rPr>
    </w:lvl>
    <w:lvl w:ilvl="3" w:tplc="82BCF8A6" w:tentative="1">
      <w:start w:val="1"/>
      <w:numFmt w:val="bullet"/>
      <w:lvlText w:val="•"/>
      <w:lvlJc w:val="left"/>
      <w:pPr>
        <w:tabs>
          <w:tab w:val="num" w:pos="2880"/>
        </w:tabs>
        <w:ind w:left="2880" w:hanging="360"/>
      </w:pPr>
      <w:rPr>
        <w:rFonts w:ascii="Arial" w:hAnsi="Arial" w:hint="default"/>
      </w:rPr>
    </w:lvl>
    <w:lvl w:ilvl="4" w:tplc="88386562" w:tentative="1">
      <w:start w:val="1"/>
      <w:numFmt w:val="bullet"/>
      <w:lvlText w:val="•"/>
      <w:lvlJc w:val="left"/>
      <w:pPr>
        <w:tabs>
          <w:tab w:val="num" w:pos="3600"/>
        </w:tabs>
        <w:ind w:left="3600" w:hanging="360"/>
      </w:pPr>
      <w:rPr>
        <w:rFonts w:ascii="Arial" w:hAnsi="Arial" w:hint="default"/>
      </w:rPr>
    </w:lvl>
    <w:lvl w:ilvl="5" w:tplc="F44A6446" w:tentative="1">
      <w:start w:val="1"/>
      <w:numFmt w:val="bullet"/>
      <w:lvlText w:val="•"/>
      <w:lvlJc w:val="left"/>
      <w:pPr>
        <w:tabs>
          <w:tab w:val="num" w:pos="4320"/>
        </w:tabs>
        <w:ind w:left="4320" w:hanging="360"/>
      </w:pPr>
      <w:rPr>
        <w:rFonts w:ascii="Arial" w:hAnsi="Arial" w:hint="default"/>
      </w:rPr>
    </w:lvl>
    <w:lvl w:ilvl="6" w:tplc="5022BBD0" w:tentative="1">
      <w:start w:val="1"/>
      <w:numFmt w:val="bullet"/>
      <w:lvlText w:val="•"/>
      <w:lvlJc w:val="left"/>
      <w:pPr>
        <w:tabs>
          <w:tab w:val="num" w:pos="5040"/>
        </w:tabs>
        <w:ind w:left="5040" w:hanging="360"/>
      </w:pPr>
      <w:rPr>
        <w:rFonts w:ascii="Arial" w:hAnsi="Arial" w:hint="default"/>
      </w:rPr>
    </w:lvl>
    <w:lvl w:ilvl="7" w:tplc="A4247948" w:tentative="1">
      <w:start w:val="1"/>
      <w:numFmt w:val="bullet"/>
      <w:lvlText w:val="•"/>
      <w:lvlJc w:val="left"/>
      <w:pPr>
        <w:tabs>
          <w:tab w:val="num" w:pos="5760"/>
        </w:tabs>
        <w:ind w:left="5760" w:hanging="360"/>
      </w:pPr>
      <w:rPr>
        <w:rFonts w:ascii="Arial" w:hAnsi="Arial" w:hint="default"/>
      </w:rPr>
    </w:lvl>
    <w:lvl w:ilvl="8" w:tplc="29E0F8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069157E"/>
    <w:multiLevelType w:val="hybridMultilevel"/>
    <w:tmpl w:val="29946DBE"/>
    <w:lvl w:ilvl="0" w:tplc="E86AB276">
      <w:start w:val="1"/>
      <w:numFmt w:val="decimal"/>
      <w:lvlText w:val="(%1)"/>
      <w:lvlJc w:val="left"/>
      <w:pPr>
        <w:ind w:left="370" w:hanging="360"/>
      </w:pPr>
      <w:rPr>
        <w:rFonts w:hint="default"/>
        <w:b/>
        <w:i w:val="0"/>
      </w:rPr>
    </w:lvl>
    <w:lvl w:ilvl="1" w:tplc="FFFFFFFF">
      <w:start w:val="1"/>
      <w:numFmt w:val="bullet"/>
      <w:lvlText w:val="o"/>
      <w:lvlJc w:val="left"/>
      <w:pPr>
        <w:ind w:left="1090" w:hanging="360"/>
      </w:pPr>
      <w:rPr>
        <w:rFonts w:ascii="Courier New" w:hAnsi="Courier New" w:cs="Courier New" w:hint="default"/>
      </w:rPr>
    </w:lvl>
    <w:lvl w:ilvl="2" w:tplc="FFFFFFFF">
      <w:start w:val="1"/>
      <w:numFmt w:val="bullet"/>
      <w:lvlText w:val=""/>
      <w:lvlJc w:val="left"/>
      <w:pPr>
        <w:ind w:left="1810" w:hanging="360"/>
      </w:pPr>
      <w:rPr>
        <w:rFonts w:ascii="Wingdings" w:hAnsi="Wingdings" w:hint="default"/>
      </w:rPr>
    </w:lvl>
    <w:lvl w:ilvl="3" w:tplc="FFFFFFFF">
      <w:start w:val="1"/>
      <w:numFmt w:val="bullet"/>
      <w:lvlText w:val=""/>
      <w:lvlJc w:val="left"/>
      <w:pPr>
        <w:ind w:left="2530" w:hanging="360"/>
      </w:pPr>
      <w:rPr>
        <w:rFonts w:ascii="Symbol" w:hAnsi="Symbol" w:hint="default"/>
      </w:rPr>
    </w:lvl>
    <w:lvl w:ilvl="4" w:tplc="FFFFFFFF" w:tentative="1">
      <w:start w:val="1"/>
      <w:numFmt w:val="bullet"/>
      <w:lvlText w:val="o"/>
      <w:lvlJc w:val="left"/>
      <w:pPr>
        <w:ind w:left="3250" w:hanging="360"/>
      </w:pPr>
      <w:rPr>
        <w:rFonts w:ascii="Courier New" w:hAnsi="Courier New" w:cs="Courier New" w:hint="default"/>
      </w:rPr>
    </w:lvl>
    <w:lvl w:ilvl="5" w:tplc="FFFFFFFF" w:tentative="1">
      <w:start w:val="1"/>
      <w:numFmt w:val="bullet"/>
      <w:lvlText w:val=""/>
      <w:lvlJc w:val="left"/>
      <w:pPr>
        <w:ind w:left="3970" w:hanging="360"/>
      </w:pPr>
      <w:rPr>
        <w:rFonts w:ascii="Wingdings" w:hAnsi="Wingdings" w:hint="default"/>
      </w:rPr>
    </w:lvl>
    <w:lvl w:ilvl="6" w:tplc="FFFFFFFF" w:tentative="1">
      <w:start w:val="1"/>
      <w:numFmt w:val="bullet"/>
      <w:lvlText w:val=""/>
      <w:lvlJc w:val="left"/>
      <w:pPr>
        <w:ind w:left="4690" w:hanging="360"/>
      </w:pPr>
      <w:rPr>
        <w:rFonts w:ascii="Symbol" w:hAnsi="Symbol" w:hint="default"/>
      </w:rPr>
    </w:lvl>
    <w:lvl w:ilvl="7" w:tplc="FFFFFFFF" w:tentative="1">
      <w:start w:val="1"/>
      <w:numFmt w:val="bullet"/>
      <w:lvlText w:val="o"/>
      <w:lvlJc w:val="left"/>
      <w:pPr>
        <w:ind w:left="5410" w:hanging="360"/>
      </w:pPr>
      <w:rPr>
        <w:rFonts w:ascii="Courier New" w:hAnsi="Courier New" w:cs="Courier New" w:hint="default"/>
      </w:rPr>
    </w:lvl>
    <w:lvl w:ilvl="8" w:tplc="FFFFFFFF" w:tentative="1">
      <w:start w:val="1"/>
      <w:numFmt w:val="bullet"/>
      <w:lvlText w:val=""/>
      <w:lvlJc w:val="left"/>
      <w:pPr>
        <w:ind w:left="6130" w:hanging="360"/>
      </w:pPr>
      <w:rPr>
        <w:rFonts w:ascii="Wingdings" w:hAnsi="Wingdings" w:hint="default"/>
      </w:rPr>
    </w:lvl>
  </w:abstractNum>
  <w:abstractNum w:abstractNumId="8" w15:restartNumberingAfterBreak="0">
    <w:nsid w:val="2EAA6B49"/>
    <w:multiLevelType w:val="hybridMultilevel"/>
    <w:tmpl w:val="1D6E8C80"/>
    <w:lvl w:ilvl="0" w:tplc="7BCE111A">
      <w:start w:val="1"/>
      <w:numFmt w:val="bullet"/>
      <w:lvlText w:val="•"/>
      <w:lvlJc w:val="left"/>
      <w:pPr>
        <w:tabs>
          <w:tab w:val="num" w:pos="720"/>
        </w:tabs>
        <w:ind w:left="720" w:hanging="360"/>
      </w:pPr>
      <w:rPr>
        <w:rFonts w:ascii="Arial" w:hAnsi="Arial" w:hint="default"/>
      </w:rPr>
    </w:lvl>
    <w:lvl w:ilvl="1" w:tplc="67F6A4DA">
      <w:start w:val="1"/>
      <w:numFmt w:val="bullet"/>
      <w:lvlText w:val="•"/>
      <w:lvlJc w:val="left"/>
      <w:pPr>
        <w:tabs>
          <w:tab w:val="num" w:pos="1440"/>
        </w:tabs>
        <w:ind w:left="1440" w:hanging="360"/>
      </w:pPr>
      <w:rPr>
        <w:rFonts w:ascii="Arial" w:hAnsi="Arial" w:hint="default"/>
      </w:rPr>
    </w:lvl>
    <w:lvl w:ilvl="2" w:tplc="E07A48CE" w:tentative="1">
      <w:start w:val="1"/>
      <w:numFmt w:val="bullet"/>
      <w:lvlText w:val="•"/>
      <w:lvlJc w:val="left"/>
      <w:pPr>
        <w:tabs>
          <w:tab w:val="num" w:pos="2160"/>
        </w:tabs>
        <w:ind w:left="2160" w:hanging="360"/>
      </w:pPr>
      <w:rPr>
        <w:rFonts w:ascii="Arial" w:hAnsi="Arial" w:hint="default"/>
      </w:rPr>
    </w:lvl>
    <w:lvl w:ilvl="3" w:tplc="8320DE3A" w:tentative="1">
      <w:start w:val="1"/>
      <w:numFmt w:val="bullet"/>
      <w:lvlText w:val="•"/>
      <w:lvlJc w:val="left"/>
      <w:pPr>
        <w:tabs>
          <w:tab w:val="num" w:pos="2880"/>
        </w:tabs>
        <w:ind w:left="2880" w:hanging="360"/>
      </w:pPr>
      <w:rPr>
        <w:rFonts w:ascii="Arial" w:hAnsi="Arial" w:hint="default"/>
      </w:rPr>
    </w:lvl>
    <w:lvl w:ilvl="4" w:tplc="D69E0B78" w:tentative="1">
      <w:start w:val="1"/>
      <w:numFmt w:val="bullet"/>
      <w:lvlText w:val="•"/>
      <w:lvlJc w:val="left"/>
      <w:pPr>
        <w:tabs>
          <w:tab w:val="num" w:pos="3600"/>
        </w:tabs>
        <w:ind w:left="3600" w:hanging="360"/>
      </w:pPr>
      <w:rPr>
        <w:rFonts w:ascii="Arial" w:hAnsi="Arial" w:hint="default"/>
      </w:rPr>
    </w:lvl>
    <w:lvl w:ilvl="5" w:tplc="3C002544" w:tentative="1">
      <w:start w:val="1"/>
      <w:numFmt w:val="bullet"/>
      <w:lvlText w:val="•"/>
      <w:lvlJc w:val="left"/>
      <w:pPr>
        <w:tabs>
          <w:tab w:val="num" w:pos="4320"/>
        </w:tabs>
        <w:ind w:left="4320" w:hanging="360"/>
      </w:pPr>
      <w:rPr>
        <w:rFonts w:ascii="Arial" w:hAnsi="Arial" w:hint="default"/>
      </w:rPr>
    </w:lvl>
    <w:lvl w:ilvl="6" w:tplc="EF529FE6" w:tentative="1">
      <w:start w:val="1"/>
      <w:numFmt w:val="bullet"/>
      <w:lvlText w:val="•"/>
      <w:lvlJc w:val="left"/>
      <w:pPr>
        <w:tabs>
          <w:tab w:val="num" w:pos="5040"/>
        </w:tabs>
        <w:ind w:left="5040" w:hanging="360"/>
      </w:pPr>
      <w:rPr>
        <w:rFonts w:ascii="Arial" w:hAnsi="Arial" w:hint="default"/>
      </w:rPr>
    </w:lvl>
    <w:lvl w:ilvl="7" w:tplc="DADE1CF6" w:tentative="1">
      <w:start w:val="1"/>
      <w:numFmt w:val="bullet"/>
      <w:lvlText w:val="•"/>
      <w:lvlJc w:val="left"/>
      <w:pPr>
        <w:tabs>
          <w:tab w:val="num" w:pos="5760"/>
        </w:tabs>
        <w:ind w:left="5760" w:hanging="360"/>
      </w:pPr>
      <w:rPr>
        <w:rFonts w:ascii="Arial" w:hAnsi="Arial" w:hint="default"/>
      </w:rPr>
    </w:lvl>
    <w:lvl w:ilvl="8" w:tplc="73CE2F9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1123914"/>
    <w:multiLevelType w:val="hybridMultilevel"/>
    <w:tmpl w:val="DCFC4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F2266B"/>
    <w:multiLevelType w:val="hybridMultilevel"/>
    <w:tmpl w:val="27C05364"/>
    <w:lvl w:ilvl="0" w:tplc="76EE2248">
      <w:start w:val="1"/>
      <w:numFmt w:val="decimal"/>
      <w:lvlText w:val="%1."/>
      <w:lvlJc w:val="left"/>
      <w:pPr>
        <w:tabs>
          <w:tab w:val="num" w:pos="720"/>
        </w:tabs>
        <w:ind w:left="720" w:hanging="360"/>
      </w:pPr>
    </w:lvl>
    <w:lvl w:ilvl="1" w:tplc="9E3E581A" w:tentative="1">
      <w:start w:val="1"/>
      <w:numFmt w:val="decimal"/>
      <w:lvlText w:val="%2."/>
      <w:lvlJc w:val="left"/>
      <w:pPr>
        <w:tabs>
          <w:tab w:val="num" w:pos="1440"/>
        </w:tabs>
        <w:ind w:left="1440" w:hanging="360"/>
      </w:pPr>
    </w:lvl>
    <w:lvl w:ilvl="2" w:tplc="65EEB25C" w:tentative="1">
      <w:start w:val="1"/>
      <w:numFmt w:val="decimal"/>
      <w:lvlText w:val="%3."/>
      <w:lvlJc w:val="left"/>
      <w:pPr>
        <w:tabs>
          <w:tab w:val="num" w:pos="2160"/>
        </w:tabs>
        <w:ind w:left="2160" w:hanging="360"/>
      </w:pPr>
    </w:lvl>
    <w:lvl w:ilvl="3" w:tplc="268644B4" w:tentative="1">
      <w:start w:val="1"/>
      <w:numFmt w:val="decimal"/>
      <w:lvlText w:val="%4."/>
      <w:lvlJc w:val="left"/>
      <w:pPr>
        <w:tabs>
          <w:tab w:val="num" w:pos="2880"/>
        </w:tabs>
        <w:ind w:left="2880" w:hanging="360"/>
      </w:pPr>
    </w:lvl>
    <w:lvl w:ilvl="4" w:tplc="22C2E726" w:tentative="1">
      <w:start w:val="1"/>
      <w:numFmt w:val="decimal"/>
      <w:lvlText w:val="%5."/>
      <w:lvlJc w:val="left"/>
      <w:pPr>
        <w:tabs>
          <w:tab w:val="num" w:pos="3600"/>
        </w:tabs>
        <w:ind w:left="3600" w:hanging="360"/>
      </w:pPr>
    </w:lvl>
    <w:lvl w:ilvl="5" w:tplc="5FB28348" w:tentative="1">
      <w:start w:val="1"/>
      <w:numFmt w:val="decimal"/>
      <w:lvlText w:val="%6."/>
      <w:lvlJc w:val="left"/>
      <w:pPr>
        <w:tabs>
          <w:tab w:val="num" w:pos="4320"/>
        </w:tabs>
        <w:ind w:left="4320" w:hanging="360"/>
      </w:pPr>
    </w:lvl>
    <w:lvl w:ilvl="6" w:tplc="03A422FE" w:tentative="1">
      <w:start w:val="1"/>
      <w:numFmt w:val="decimal"/>
      <w:lvlText w:val="%7."/>
      <w:lvlJc w:val="left"/>
      <w:pPr>
        <w:tabs>
          <w:tab w:val="num" w:pos="5040"/>
        </w:tabs>
        <w:ind w:left="5040" w:hanging="360"/>
      </w:pPr>
    </w:lvl>
    <w:lvl w:ilvl="7" w:tplc="C7BAE554" w:tentative="1">
      <w:start w:val="1"/>
      <w:numFmt w:val="decimal"/>
      <w:lvlText w:val="%8."/>
      <w:lvlJc w:val="left"/>
      <w:pPr>
        <w:tabs>
          <w:tab w:val="num" w:pos="5760"/>
        </w:tabs>
        <w:ind w:left="5760" w:hanging="360"/>
      </w:pPr>
    </w:lvl>
    <w:lvl w:ilvl="8" w:tplc="84424C1A" w:tentative="1">
      <w:start w:val="1"/>
      <w:numFmt w:val="decimal"/>
      <w:lvlText w:val="%9."/>
      <w:lvlJc w:val="left"/>
      <w:pPr>
        <w:tabs>
          <w:tab w:val="num" w:pos="6480"/>
        </w:tabs>
        <w:ind w:left="6480" w:hanging="360"/>
      </w:pPr>
    </w:lvl>
  </w:abstractNum>
  <w:abstractNum w:abstractNumId="11" w15:restartNumberingAfterBreak="0">
    <w:nsid w:val="3941330A"/>
    <w:multiLevelType w:val="hybridMultilevel"/>
    <w:tmpl w:val="8C4A778E"/>
    <w:lvl w:ilvl="0" w:tplc="FE1C3B86">
      <w:start w:val="1"/>
      <w:numFmt w:val="bullet"/>
      <w:lvlText w:val="•"/>
      <w:lvlJc w:val="left"/>
      <w:pPr>
        <w:tabs>
          <w:tab w:val="num" w:pos="720"/>
        </w:tabs>
        <w:ind w:left="720" w:hanging="360"/>
      </w:pPr>
      <w:rPr>
        <w:rFonts w:ascii="Arial" w:hAnsi="Arial" w:hint="default"/>
      </w:rPr>
    </w:lvl>
    <w:lvl w:ilvl="1" w:tplc="DF708002">
      <w:start w:val="84"/>
      <w:numFmt w:val="bullet"/>
      <w:lvlText w:val="–"/>
      <w:lvlJc w:val="left"/>
      <w:pPr>
        <w:tabs>
          <w:tab w:val="num" w:pos="1440"/>
        </w:tabs>
        <w:ind w:left="1440" w:hanging="360"/>
      </w:pPr>
      <w:rPr>
        <w:rFonts w:ascii="Arial" w:hAnsi="Arial" w:hint="default"/>
      </w:rPr>
    </w:lvl>
    <w:lvl w:ilvl="2" w:tplc="7410E718">
      <w:start w:val="1"/>
      <w:numFmt w:val="bullet"/>
      <w:lvlText w:val="•"/>
      <w:lvlJc w:val="left"/>
      <w:pPr>
        <w:tabs>
          <w:tab w:val="num" w:pos="2160"/>
        </w:tabs>
        <w:ind w:left="2160" w:hanging="360"/>
      </w:pPr>
      <w:rPr>
        <w:rFonts w:ascii="Arial" w:hAnsi="Arial" w:hint="default"/>
      </w:rPr>
    </w:lvl>
    <w:lvl w:ilvl="3" w:tplc="38CEBAC8" w:tentative="1">
      <w:start w:val="1"/>
      <w:numFmt w:val="bullet"/>
      <w:lvlText w:val="•"/>
      <w:lvlJc w:val="left"/>
      <w:pPr>
        <w:tabs>
          <w:tab w:val="num" w:pos="2880"/>
        </w:tabs>
        <w:ind w:left="2880" w:hanging="360"/>
      </w:pPr>
      <w:rPr>
        <w:rFonts w:ascii="Arial" w:hAnsi="Arial" w:hint="default"/>
      </w:rPr>
    </w:lvl>
    <w:lvl w:ilvl="4" w:tplc="FCE8E1DA" w:tentative="1">
      <w:start w:val="1"/>
      <w:numFmt w:val="bullet"/>
      <w:lvlText w:val="•"/>
      <w:lvlJc w:val="left"/>
      <w:pPr>
        <w:tabs>
          <w:tab w:val="num" w:pos="3600"/>
        </w:tabs>
        <w:ind w:left="3600" w:hanging="360"/>
      </w:pPr>
      <w:rPr>
        <w:rFonts w:ascii="Arial" w:hAnsi="Arial" w:hint="default"/>
      </w:rPr>
    </w:lvl>
    <w:lvl w:ilvl="5" w:tplc="10C6DEE2" w:tentative="1">
      <w:start w:val="1"/>
      <w:numFmt w:val="bullet"/>
      <w:lvlText w:val="•"/>
      <w:lvlJc w:val="left"/>
      <w:pPr>
        <w:tabs>
          <w:tab w:val="num" w:pos="4320"/>
        </w:tabs>
        <w:ind w:left="4320" w:hanging="360"/>
      </w:pPr>
      <w:rPr>
        <w:rFonts w:ascii="Arial" w:hAnsi="Arial" w:hint="default"/>
      </w:rPr>
    </w:lvl>
    <w:lvl w:ilvl="6" w:tplc="348C354C" w:tentative="1">
      <w:start w:val="1"/>
      <w:numFmt w:val="bullet"/>
      <w:lvlText w:val="•"/>
      <w:lvlJc w:val="left"/>
      <w:pPr>
        <w:tabs>
          <w:tab w:val="num" w:pos="5040"/>
        </w:tabs>
        <w:ind w:left="5040" w:hanging="360"/>
      </w:pPr>
      <w:rPr>
        <w:rFonts w:ascii="Arial" w:hAnsi="Arial" w:hint="default"/>
      </w:rPr>
    </w:lvl>
    <w:lvl w:ilvl="7" w:tplc="219E36A8" w:tentative="1">
      <w:start w:val="1"/>
      <w:numFmt w:val="bullet"/>
      <w:lvlText w:val="•"/>
      <w:lvlJc w:val="left"/>
      <w:pPr>
        <w:tabs>
          <w:tab w:val="num" w:pos="5760"/>
        </w:tabs>
        <w:ind w:left="5760" w:hanging="360"/>
      </w:pPr>
      <w:rPr>
        <w:rFonts w:ascii="Arial" w:hAnsi="Arial" w:hint="default"/>
      </w:rPr>
    </w:lvl>
    <w:lvl w:ilvl="8" w:tplc="5A9801B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0C755CA"/>
    <w:multiLevelType w:val="hybridMultilevel"/>
    <w:tmpl w:val="57746E62"/>
    <w:lvl w:ilvl="0" w:tplc="E86AB276">
      <w:start w:val="1"/>
      <w:numFmt w:val="decimal"/>
      <w:lvlText w:val="(%1)"/>
      <w:lvlJc w:val="left"/>
      <w:pPr>
        <w:ind w:left="370" w:hanging="360"/>
      </w:pPr>
      <w:rPr>
        <w:rFonts w:hint="default"/>
        <w:b/>
        <w:i w:val="0"/>
      </w:rPr>
    </w:lvl>
    <w:lvl w:ilvl="1" w:tplc="04090003">
      <w:start w:val="1"/>
      <w:numFmt w:val="bullet"/>
      <w:lvlText w:val="o"/>
      <w:lvlJc w:val="left"/>
      <w:pPr>
        <w:ind w:left="1090" w:hanging="360"/>
      </w:pPr>
      <w:rPr>
        <w:rFonts w:ascii="Courier New" w:hAnsi="Courier New" w:cs="Courier New" w:hint="default"/>
      </w:rPr>
    </w:lvl>
    <w:lvl w:ilvl="2" w:tplc="04090005">
      <w:start w:val="1"/>
      <w:numFmt w:val="bullet"/>
      <w:lvlText w:val=""/>
      <w:lvlJc w:val="left"/>
      <w:pPr>
        <w:ind w:left="1810" w:hanging="360"/>
      </w:pPr>
      <w:rPr>
        <w:rFonts w:ascii="Wingdings" w:hAnsi="Wingdings" w:hint="default"/>
      </w:rPr>
    </w:lvl>
    <w:lvl w:ilvl="3" w:tplc="0409000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13" w15:restartNumberingAfterBreak="0">
    <w:nsid w:val="46846F5F"/>
    <w:multiLevelType w:val="hybridMultilevel"/>
    <w:tmpl w:val="C542F42A"/>
    <w:lvl w:ilvl="0" w:tplc="7C44E3B2">
      <w:start w:val="1"/>
      <w:numFmt w:val="bullet"/>
      <w:lvlText w:val="•"/>
      <w:lvlJc w:val="left"/>
      <w:pPr>
        <w:tabs>
          <w:tab w:val="num" w:pos="720"/>
        </w:tabs>
        <w:ind w:left="720" w:hanging="360"/>
      </w:pPr>
      <w:rPr>
        <w:rFonts w:ascii="Arial" w:hAnsi="Arial" w:hint="default"/>
      </w:rPr>
    </w:lvl>
    <w:lvl w:ilvl="1" w:tplc="B7E41E24" w:tentative="1">
      <w:start w:val="1"/>
      <w:numFmt w:val="bullet"/>
      <w:lvlText w:val="•"/>
      <w:lvlJc w:val="left"/>
      <w:pPr>
        <w:tabs>
          <w:tab w:val="num" w:pos="1440"/>
        </w:tabs>
        <w:ind w:left="1440" w:hanging="360"/>
      </w:pPr>
      <w:rPr>
        <w:rFonts w:ascii="Arial" w:hAnsi="Arial" w:hint="default"/>
      </w:rPr>
    </w:lvl>
    <w:lvl w:ilvl="2" w:tplc="CA9EC41C" w:tentative="1">
      <w:start w:val="1"/>
      <w:numFmt w:val="bullet"/>
      <w:lvlText w:val="•"/>
      <w:lvlJc w:val="left"/>
      <w:pPr>
        <w:tabs>
          <w:tab w:val="num" w:pos="2160"/>
        </w:tabs>
        <w:ind w:left="2160" w:hanging="360"/>
      </w:pPr>
      <w:rPr>
        <w:rFonts w:ascii="Arial" w:hAnsi="Arial" w:hint="default"/>
      </w:rPr>
    </w:lvl>
    <w:lvl w:ilvl="3" w:tplc="11EE4606" w:tentative="1">
      <w:start w:val="1"/>
      <w:numFmt w:val="bullet"/>
      <w:lvlText w:val="•"/>
      <w:lvlJc w:val="left"/>
      <w:pPr>
        <w:tabs>
          <w:tab w:val="num" w:pos="2880"/>
        </w:tabs>
        <w:ind w:left="2880" w:hanging="360"/>
      </w:pPr>
      <w:rPr>
        <w:rFonts w:ascii="Arial" w:hAnsi="Arial" w:hint="default"/>
      </w:rPr>
    </w:lvl>
    <w:lvl w:ilvl="4" w:tplc="C2248F02" w:tentative="1">
      <w:start w:val="1"/>
      <w:numFmt w:val="bullet"/>
      <w:lvlText w:val="•"/>
      <w:lvlJc w:val="left"/>
      <w:pPr>
        <w:tabs>
          <w:tab w:val="num" w:pos="3600"/>
        </w:tabs>
        <w:ind w:left="3600" w:hanging="360"/>
      </w:pPr>
      <w:rPr>
        <w:rFonts w:ascii="Arial" w:hAnsi="Arial" w:hint="default"/>
      </w:rPr>
    </w:lvl>
    <w:lvl w:ilvl="5" w:tplc="A636F05E" w:tentative="1">
      <w:start w:val="1"/>
      <w:numFmt w:val="bullet"/>
      <w:lvlText w:val="•"/>
      <w:lvlJc w:val="left"/>
      <w:pPr>
        <w:tabs>
          <w:tab w:val="num" w:pos="4320"/>
        </w:tabs>
        <w:ind w:left="4320" w:hanging="360"/>
      </w:pPr>
      <w:rPr>
        <w:rFonts w:ascii="Arial" w:hAnsi="Arial" w:hint="default"/>
      </w:rPr>
    </w:lvl>
    <w:lvl w:ilvl="6" w:tplc="C88C37E0" w:tentative="1">
      <w:start w:val="1"/>
      <w:numFmt w:val="bullet"/>
      <w:lvlText w:val="•"/>
      <w:lvlJc w:val="left"/>
      <w:pPr>
        <w:tabs>
          <w:tab w:val="num" w:pos="5040"/>
        </w:tabs>
        <w:ind w:left="5040" w:hanging="360"/>
      </w:pPr>
      <w:rPr>
        <w:rFonts w:ascii="Arial" w:hAnsi="Arial" w:hint="default"/>
      </w:rPr>
    </w:lvl>
    <w:lvl w:ilvl="7" w:tplc="EB5CD76C" w:tentative="1">
      <w:start w:val="1"/>
      <w:numFmt w:val="bullet"/>
      <w:lvlText w:val="•"/>
      <w:lvlJc w:val="left"/>
      <w:pPr>
        <w:tabs>
          <w:tab w:val="num" w:pos="5760"/>
        </w:tabs>
        <w:ind w:left="5760" w:hanging="360"/>
      </w:pPr>
      <w:rPr>
        <w:rFonts w:ascii="Arial" w:hAnsi="Arial" w:hint="default"/>
      </w:rPr>
    </w:lvl>
    <w:lvl w:ilvl="8" w:tplc="EA8EDB7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AD63507"/>
    <w:multiLevelType w:val="hybridMultilevel"/>
    <w:tmpl w:val="0E52CB3C"/>
    <w:lvl w:ilvl="0" w:tplc="6F849AF6">
      <w:start w:val="1"/>
      <w:numFmt w:val="bullet"/>
      <w:lvlText w:val=""/>
      <w:lvlJc w:val="left"/>
      <w:pPr>
        <w:ind w:left="720" w:hanging="360"/>
      </w:pPr>
      <w:rPr>
        <w:rFonts w:ascii="Symbol" w:hAnsi="Symbol" w:hint="default"/>
      </w:rPr>
    </w:lvl>
    <w:lvl w:ilvl="1" w:tplc="768A1ABA">
      <w:start w:val="1"/>
      <w:numFmt w:val="bullet"/>
      <w:lvlText w:val="o"/>
      <w:lvlJc w:val="left"/>
      <w:pPr>
        <w:ind w:left="1440" w:hanging="360"/>
      </w:pPr>
      <w:rPr>
        <w:rFonts w:ascii="Courier New" w:hAnsi="Courier New" w:hint="default"/>
      </w:rPr>
    </w:lvl>
    <w:lvl w:ilvl="2" w:tplc="CE02C6A6">
      <w:start w:val="1"/>
      <w:numFmt w:val="bullet"/>
      <w:lvlText w:val=""/>
      <w:lvlJc w:val="left"/>
      <w:pPr>
        <w:ind w:left="2160" w:hanging="360"/>
      </w:pPr>
      <w:rPr>
        <w:rFonts w:ascii="Wingdings" w:hAnsi="Wingdings" w:hint="default"/>
      </w:rPr>
    </w:lvl>
    <w:lvl w:ilvl="3" w:tplc="6E624812">
      <w:start w:val="1"/>
      <w:numFmt w:val="bullet"/>
      <w:lvlText w:val=""/>
      <w:lvlJc w:val="left"/>
      <w:pPr>
        <w:ind w:left="2880" w:hanging="360"/>
      </w:pPr>
      <w:rPr>
        <w:rFonts w:ascii="Symbol" w:hAnsi="Symbol" w:hint="default"/>
      </w:rPr>
    </w:lvl>
    <w:lvl w:ilvl="4" w:tplc="6AACA946">
      <w:start w:val="1"/>
      <w:numFmt w:val="bullet"/>
      <w:lvlText w:val="o"/>
      <w:lvlJc w:val="left"/>
      <w:pPr>
        <w:ind w:left="3600" w:hanging="360"/>
      </w:pPr>
      <w:rPr>
        <w:rFonts w:ascii="Courier New" w:hAnsi="Courier New" w:hint="default"/>
      </w:rPr>
    </w:lvl>
    <w:lvl w:ilvl="5" w:tplc="71541538">
      <w:start w:val="1"/>
      <w:numFmt w:val="bullet"/>
      <w:lvlText w:val=""/>
      <w:lvlJc w:val="left"/>
      <w:pPr>
        <w:ind w:left="4320" w:hanging="360"/>
      </w:pPr>
      <w:rPr>
        <w:rFonts w:ascii="Wingdings" w:hAnsi="Wingdings" w:hint="default"/>
      </w:rPr>
    </w:lvl>
    <w:lvl w:ilvl="6" w:tplc="4D6C786E">
      <w:start w:val="1"/>
      <w:numFmt w:val="bullet"/>
      <w:lvlText w:val=""/>
      <w:lvlJc w:val="left"/>
      <w:pPr>
        <w:ind w:left="5040" w:hanging="360"/>
      </w:pPr>
      <w:rPr>
        <w:rFonts w:ascii="Symbol" w:hAnsi="Symbol" w:hint="default"/>
      </w:rPr>
    </w:lvl>
    <w:lvl w:ilvl="7" w:tplc="8E00066C">
      <w:start w:val="1"/>
      <w:numFmt w:val="bullet"/>
      <w:lvlText w:val="o"/>
      <w:lvlJc w:val="left"/>
      <w:pPr>
        <w:ind w:left="5760" w:hanging="360"/>
      </w:pPr>
      <w:rPr>
        <w:rFonts w:ascii="Courier New" w:hAnsi="Courier New" w:hint="default"/>
      </w:rPr>
    </w:lvl>
    <w:lvl w:ilvl="8" w:tplc="A06CD312">
      <w:start w:val="1"/>
      <w:numFmt w:val="bullet"/>
      <w:lvlText w:val=""/>
      <w:lvlJc w:val="left"/>
      <w:pPr>
        <w:ind w:left="6480" w:hanging="360"/>
      </w:pPr>
      <w:rPr>
        <w:rFonts w:ascii="Wingdings" w:hAnsi="Wingdings" w:hint="default"/>
      </w:rPr>
    </w:lvl>
  </w:abstractNum>
  <w:abstractNum w:abstractNumId="15" w15:restartNumberingAfterBreak="0">
    <w:nsid w:val="5BE64ECF"/>
    <w:multiLevelType w:val="hybridMultilevel"/>
    <w:tmpl w:val="459C08DA"/>
    <w:lvl w:ilvl="0" w:tplc="0106B412">
      <w:start w:val="1"/>
      <w:numFmt w:val="bullet"/>
      <w:lvlText w:val="•"/>
      <w:lvlJc w:val="left"/>
      <w:pPr>
        <w:tabs>
          <w:tab w:val="num" w:pos="720"/>
        </w:tabs>
        <w:ind w:left="720" w:hanging="360"/>
      </w:pPr>
      <w:rPr>
        <w:rFonts w:ascii="Arial" w:hAnsi="Arial" w:hint="default"/>
      </w:rPr>
    </w:lvl>
    <w:lvl w:ilvl="1" w:tplc="C0EA6792">
      <w:start w:val="84"/>
      <w:numFmt w:val="bullet"/>
      <w:lvlText w:val="–"/>
      <w:lvlJc w:val="left"/>
      <w:pPr>
        <w:tabs>
          <w:tab w:val="num" w:pos="1440"/>
        </w:tabs>
        <w:ind w:left="1440" w:hanging="360"/>
      </w:pPr>
      <w:rPr>
        <w:rFonts w:ascii="Arial" w:hAnsi="Arial" w:hint="default"/>
      </w:rPr>
    </w:lvl>
    <w:lvl w:ilvl="2" w:tplc="CECE3980" w:tentative="1">
      <w:start w:val="1"/>
      <w:numFmt w:val="bullet"/>
      <w:lvlText w:val="•"/>
      <w:lvlJc w:val="left"/>
      <w:pPr>
        <w:tabs>
          <w:tab w:val="num" w:pos="2160"/>
        </w:tabs>
        <w:ind w:left="2160" w:hanging="360"/>
      </w:pPr>
      <w:rPr>
        <w:rFonts w:ascii="Arial" w:hAnsi="Arial" w:hint="default"/>
      </w:rPr>
    </w:lvl>
    <w:lvl w:ilvl="3" w:tplc="2EF82B28" w:tentative="1">
      <w:start w:val="1"/>
      <w:numFmt w:val="bullet"/>
      <w:lvlText w:val="•"/>
      <w:lvlJc w:val="left"/>
      <w:pPr>
        <w:tabs>
          <w:tab w:val="num" w:pos="2880"/>
        </w:tabs>
        <w:ind w:left="2880" w:hanging="360"/>
      </w:pPr>
      <w:rPr>
        <w:rFonts w:ascii="Arial" w:hAnsi="Arial" w:hint="default"/>
      </w:rPr>
    </w:lvl>
    <w:lvl w:ilvl="4" w:tplc="1A244172" w:tentative="1">
      <w:start w:val="1"/>
      <w:numFmt w:val="bullet"/>
      <w:lvlText w:val="•"/>
      <w:lvlJc w:val="left"/>
      <w:pPr>
        <w:tabs>
          <w:tab w:val="num" w:pos="3600"/>
        </w:tabs>
        <w:ind w:left="3600" w:hanging="360"/>
      </w:pPr>
      <w:rPr>
        <w:rFonts w:ascii="Arial" w:hAnsi="Arial" w:hint="default"/>
      </w:rPr>
    </w:lvl>
    <w:lvl w:ilvl="5" w:tplc="0B60A504" w:tentative="1">
      <w:start w:val="1"/>
      <w:numFmt w:val="bullet"/>
      <w:lvlText w:val="•"/>
      <w:lvlJc w:val="left"/>
      <w:pPr>
        <w:tabs>
          <w:tab w:val="num" w:pos="4320"/>
        </w:tabs>
        <w:ind w:left="4320" w:hanging="360"/>
      </w:pPr>
      <w:rPr>
        <w:rFonts w:ascii="Arial" w:hAnsi="Arial" w:hint="default"/>
      </w:rPr>
    </w:lvl>
    <w:lvl w:ilvl="6" w:tplc="FE2ED6FA" w:tentative="1">
      <w:start w:val="1"/>
      <w:numFmt w:val="bullet"/>
      <w:lvlText w:val="•"/>
      <w:lvlJc w:val="left"/>
      <w:pPr>
        <w:tabs>
          <w:tab w:val="num" w:pos="5040"/>
        </w:tabs>
        <w:ind w:left="5040" w:hanging="360"/>
      </w:pPr>
      <w:rPr>
        <w:rFonts w:ascii="Arial" w:hAnsi="Arial" w:hint="default"/>
      </w:rPr>
    </w:lvl>
    <w:lvl w:ilvl="7" w:tplc="B228319A" w:tentative="1">
      <w:start w:val="1"/>
      <w:numFmt w:val="bullet"/>
      <w:lvlText w:val="•"/>
      <w:lvlJc w:val="left"/>
      <w:pPr>
        <w:tabs>
          <w:tab w:val="num" w:pos="5760"/>
        </w:tabs>
        <w:ind w:left="5760" w:hanging="360"/>
      </w:pPr>
      <w:rPr>
        <w:rFonts w:ascii="Arial" w:hAnsi="Arial" w:hint="default"/>
      </w:rPr>
    </w:lvl>
    <w:lvl w:ilvl="8" w:tplc="338A9D3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3591DDA"/>
    <w:multiLevelType w:val="hybridMultilevel"/>
    <w:tmpl w:val="EA1856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E058DD"/>
    <w:multiLevelType w:val="hybridMultilevel"/>
    <w:tmpl w:val="AF76EFF6"/>
    <w:lvl w:ilvl="0" w:tplc="74D0E388">
      <w:start w:val="1"/>
      <w:numFmt w:val="bullet"/>
      <w:lvlText w:val="•"/>
      <w:lvlJc w:val="left"/>
      <w:pPr>
        <w:tabs>
          <w:tab w:val="num" w:pos="720"/>
        </w:tabs>
        <w:ind w:left="720" w:hanging="360"/>
      </w:pPr>
      <w:rPr>
        <w:rFonts w:ascii="Arial" w:hAnsi="Arial" w:hint="default"/>
      </w:rPr>
    </w:lvl>
    <w:lvl w:ilvl="1" w:tplc="775CA77C" w:tentative="1">
      <w:start w:val="1"/>
      <w:numFmt w:val="bullet"/>
      <w:lvlText w:val="•"/>
      <w:lvlJc w:val="left"/>
      <w:pPr>
        <w:tabs>
          <w:tab w:val="num" w:pos="1440"/>
        </w:tabs>
        <w:ind w:left="1440" w:hanging="360"/>
      </w:pPr>
      <w:rPr>
        <w:rFonts w:ascii="Arial" w:hAnsi="Arial" w:hint="default"/>
      </w:rPr>
    </w:lvl>
    <w:lvl w:ilvl="2" w:tplc="D284C120" w:tentative="1">
      <w:start w:val="1"/>
      <w:numFmt w:val="bullet"/>
      <w:lvlText w:val="•"/>
      <w:lvlJc w:val="left"/>
      <w:pPr>
        <w:tabs>
          <w:tab w:val="num" w:pos="2160"/>
        </w:tabs>
        <w:ind w:left="2160" w:hanging="360"/>
      </w:pPr>
      <w:rPr>
        <w:rFonts w:ascii="Arial" w:hAnsi="Arial" w:hint="default"/>
      </w:rPr>
    </w:lvl>
    <w:lvl w:ilvl="3" w:tplc="974A937A" w:tentative="1">
      <w:start w:val="1"/>
      <w:numFmt w:val="bullet"/>
      <w:lvlText w:val="•"/>
      <w:lvlJc w:val="left"/>
      <w:pPr>
        <w:tabs>
          <w:tab w:val="num" w:pos="2880"/>
        </w:tabs>
        <w:ind w:left="2880" w:hanging="360"/>
      </w:pPr>
      <w:rPr>
        <w:rFonts w:ascii="Arial" w:hAnsi="Arial" w:hint="default"/>
      </w:rPr>
    </w:lvl>
    <w:lvl w:ilvl="4" w:tplc="5942BEAA" w:tentative="1">
      <w:start w:val="1"/>
      <w:numFmt w:val="bullet"/>
      <w:lvlText w:val="•"/>
      <w:lvlJc w:val="left"/>
      <w:pPr>
        <w:tabs>
          <w:tab w:val="num" w:pos="3600"/>
        </w:tabs>
        <w:ind w:left="3600" w:hanging="360"/>
      </w:pPr>
      <w:rPr>
        <w:rFonts w:ascii="Arial" w:hAnsi="Arial" w:hint="default"/>
      </w:rPr>
    </w:lvl>
    <w:lvl w:ilvl="5" w:tplc="0B646902" w:tentative="1">
      <w:start w:val="1"/>
      <w:numFmt w:val="bullet"/>
      <w:lvlText w:val="•"/>
      <w:lvlJc w:val="left"/>
      <w:pPr>
        <w:tabs>
          <w:tab w:val="num" w:pos="4320"/>
        </w:tabs>
        <w:ind w:left="4320" w:hanging="360"/>
      </w:pPr>
      <w:rPr>
        <w:rFonts w:ascii="Arial" w:hAnsi="Arial" w:hint="default"/>
      </w:rPr>
    </w:lvl>
    <w:lvl w:ilvl="6" w:tplc="D1508F50" w:tentative="1">
      <w:start w:val="1"/>
      <w:numFmt w:val="bullet"/>
      <w:lvlText w:val="•"/>
      <w:lvlJc w:val="left"/>
      <w:pPr>
        <w:tabs>
          <w:tab w:val="num" w:pos="5040"/>
        </w:tabs>
        <w:ind w:left="5040" w:hanging="360"/>
      </w:pPr>
      <w:rPr>
        <w:rFonts w:ascii="Arial" w:hAnsi="Arial" w:hint="default"/>
      </w:rPr>
    </w:lvl>
    <w:lvl w:ilvl="7" w:tplc="826609E8" w:tentative="1">
      <w:start w:val="1"/>
      <w:numFmt w:val="bullet"/>
      <w:lvlText w:val="•"/>
      <w:lvlJc w:val="left"/>
      <w:pPr>
        <w:tabs>
          <w:tab w:val="num" w:pos="5760"/>
        </w:tabs>
        <w:ind w:left="5760" w:hanging="360"/>
      </w:pPr>
      <w:rPr>
        <w:rFonts w:ascii="Arial" w:hAnsi="Arial" w:hint="default"/>
      </w:rPr>
    </w:lvl>
    <w:lvl w:ilvl="8" w:tplc="6B284C7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7EC600A"/>
    <w:multiLevelType w:val="hybridMultilevel"/>
    <w:tmpl w:val="39AA7A04"/>
    <w:lvl w:ilvl="0" w:tplc="6D2E03B2">
      <w:start w:val="1"/>
      <w:numFmt w:val="decimal"/>
      <w:lvlText w:val="%1."/>
      <w:lvlJc w:val="left"/>
      <w:pPr>
        <w:ind w:left="1080" w:hanging="360"/>
      </w:pPr>
    </w:lvl>
    <w:lvl w:ilvl="1" w:tplc="1AD82872">
      <w:start w:val="1"/>
      <w:numFmt w:val="decimal"/>
      <w:lvlText w:val="%2."/>
      <w:lvlJc w:val="left"/>
      <w:pPr>
        <w:ind w:left="1080" w:hanging="360"/>
      </w:pPr>
    </w:lvl>
    <w:lvl w:ilvl="2" w:tplc="1F347A68">
      <w:start w:val="1"/>
      <w:numFmt w:val="decimal"/>
      <w:lvlText w:val="%3."/>
      <w:lvlJc w:val="left"/>
      <w:pPr>
        <w:ind w:left="1080" w:hanging="360"/>
      </w:pPr>
    </w:lvl>
    <w:lvl w:ilvl="3" w:tplc="833AE008">
      <w:start w:val="1"/>
      <w:numFmt w:val="decimal"/>
      <w:lvlText w:val="%4."/>
      <w:lvlJc w:val="left"/>
      <w:pPr>
        <w:ind w:left="1080" w:hanging="360"/>
      </w:pPr>
    </w:lvl>
    <w:lvl w:ilvl="4" w:tplc="0FFC8F14">
      <w:start w:val="1"/>
      <w:numFmt w:val="decimal"/>
      <w:lvlText w:val="%5."/>
      <w:lvlJc w:val="left"/>
      <w:pPr>
        <w:ind w:left="1080" w:hanging="360"/>
      </w:pPr>
    </w:lvl>
    <w:lvl w:ilvl="5" w:tplc="7898FCA0">
      <w:start w:val="1"/>
      <w:numFmt w:val="decimal"/>
      <w:lvlText w:val="%6."/>
      <w:lvlJc w:val="left"/>
      <w:pPr>
        <w:ind w:left="1080" w:hanging="360"/>
      </w:pPr>
    </w:lvl>
    <w:lvl w:ilvl="6" w:tplc="3C306544">
      <w:start w:val="1"/>
      <w:numFmt w:val="decimal"/>
      <w:lvlText w:val="%7."/>
      <w:lvlJc w:val="left"/>
      <w:pPr>
        <w:ind w:left="1080" w:hanging="360"/>
      </w:pPr>
    </w:lvl>
    <w:lvl w:ilvl="7" w:tplc="548E3DFC">
      <w:start w:val="1"/>
      <w:numFmt w:val="decimal"/>
      <w:lvlText w:val="%8."/>
      <w:lvlJc w:val="left"/>
      <w:pPr>
        <w:ind w:left="1080" w:hanging="360"/>
      </w:pPr>
    </w:lvl>
    <w:lvl w:ilvl="8" w:tplc="7292C10C">
      <w:start w:val="1"/>
      <w:numFmt w:val="decimal"/>
      <w:lvlText w:val="%9."/>
      <w:lvlJc w:val="left"/>
      <w:pPr>
        <w:ind w:left="1080" w:hanging="360"/>
      </w:pPr>
    </w:lvl>
  </w:abstractNum>
  <w:abstractNum w:abstractNumId="19" w15:restartNumberingAfterBreak="0">
    <w:nsid w:val="7889735B"/>
    <w:multiLevelType w:val="hybridMultilevel"/>
    <w:tmpl w:val="833AD928"/>
    <w:lvl w:ilvl="0" w:tplc="5FEE9B92">
      <w:start w:val="1"/>
      <w:numFmt w:val="decimal"/>
      <w:lvlText w:val="%1."/>
      <w:lvlJc w:val="left"/>
      <w:pPr>
        <w:tabs>
          <w:tab w:val="num" w:pos="720"/>
        </w:tabs>
        <w:ind w:left="720" w:hanging="360"/>
      </w:pPr>
    </w:lvl>
    <w:lvl w:ilvl="1" w:tplc="96CA61AA" w:tentative="1">
      <w:start w:val="1"/>
      <w:numFmt w:val="decimal"/>
      <w:lvlText w:val="%2."/>
      <w:lvlJc w:val="left"/>
      <w:pPr>
        <w:tabs>
          <w:tab w:val="num" w:pos="1440"/>
        </w:tabs>
        <w:ind w:left="1440" w:hanging="360"/>
      </w:pPr>
    </w:lvl>
    <w:lvl w:ilvl="2" w:tplc="1C88F4D2" w:tentative="1">
      <w:start w:val="1"/>
      <w:numFmt w:val="decimal"/>
      <w:lvlText w:val="%3."/>
      <w:lvlJc w:val="left"/>
      <w:pPr>
        <w:tabs>
          <w:tab w:val="num" w:pos="2160"/>
        </w:tabs>
        <w:ind w:left="2160" w:hanging="360"/>
      </w:pPr>
    </w:lvl>
    <w:lvl w:ilvl="3" w:tplc="BA5834D2" w:tentative="1">
      <w:start w:val="1"/>
      <w:numFmt w:val="decimal"/>
      <w:lvlText w:val="%4."/>
      <w:lvlJc w:val="left"/>
      <w:pPr>
        <w:tabs>
          <w:tab w:val="num" w:pos="2880"/>
        </w:tabs>
        <w:ind w:left="2880" w:hanging="360"/>
      </w:pPr>
    </w:lvl>
    <w:lvl w:ilvl="4" w:tplc="CE14791C" w:tentative="1">
      <w:start w:val="1"/>
      <w:numFmt w:val="decimal"/>
      <w:lvlText w:val="%5."/>
      <w:lvlJc w:val="left"/>
      <w:pPr>
        <w:tabs>
          <w:tab w:val="num" w:pos="3600"/>
        </w:tabs>
        <w:ind w:left="3600" w:hanging="360"/>
      </w:pPr>
    </w:lvl>
    <w:lvl w:ilvl="5" w:tplc="904882D2" w:tentative="1">
      <w:start w:val="1"/>
      <w:numFmt w:val="decimal"/>
      <w:lvlText w:val="%6."/>
      <w:lvlJc w:val="left"/>
      <w:pPr>
        <w:tabs>
          <w:tab w:val="num" w:pos="4320"/>
        </w:tabs>
        <w:ind w:left="4320" w:hanging="360"/>
      </w:pPr>
    </w:lvl>
    <w:lvl w:ilvl="6" w:tplc="4E30F1CA" w:tentative="1">
      <w:start w:val="1"/>
      <w:numFmt w:val="decimal"/>
      <w:lvlText w:val="%7."/>
      <w:lvlJc w:val="left"/>
      <w:pPr>
        <w:tabs>
          <w:tab w:val="num" w:pos="5040"/>
        </w:tabs>
        <w:ind w:left="5040" w:hanging="360"/>
      </w:pPr>
    </w:lvl>
    <w:lvl w:ilvl="7" w:tplc="6F8CB10A" w:tentative="1">
      <w:start w:val="1"/>
      <w:numFmt w:val="decimal"/>
      <w:lvlText w:val="%8."/>
      <w:lvlJc w:val="left"/>
      <w:pPr>
        <w:tabs>
          <w:tab w:val="num" w:pos="5760"/>
        </w:tabs>
        <w:ind w:left="5760" w:hanging="360"/>
      </w:pPr>
    </w:lvl>
    <w:lvl w:ilvl="8" w:tplc="80D04424" w:tentative="1">
      <w:start w:val="1"/>
      <w:numFmt w:val="decimal"/>
      <w:lvlText w:val="%9."/>
      <w:lvlJc w:val="left"/>
      <w:pPr>
        <w:tabs>
          <w:tab w:val="num" w:pos="6480"/>
        </w:tabs>
        <w:ind w:left="6480" w:hanging="360"/>
      </w:pPr>
    </w:lvl>
  </w:abstractNum>
  <w:abstractNum w:abstractNumId="20" w15:restartNumberingAfterBreak="0">
    <w:nsid w:val="78C14441"/>
    <w:multiLevelType w:val="hybridMultilevel"/>
    <w:tmpl w:val="635EA734"/>
    <w:lvl w:ilvl="0" w:tplc="EDB6EB8C">
      <w:start w:val="1"/>
      <w:numFmt w:val="bullet"/>
      <w:lvlText w:val="ꟷ"/>
      <w:lvlJc w:val="left"/>
      <w:pPr>
        <w:tabs>
          <w:tab w:val="num" w:pos="720"/>
        </w:tabs>
        <w:ind w:left="720" w:hanging="360"/>
      </w:pPr>
      <w:rPr>
        <w:rFonts w:ascii="Calibri" w:hAnsi="Calibri" w:hint="default"/>
      </w:rPr>
    </w:lvl>
    <w:lvl w:ilvl="1" w:tplc="E4344F5C">
      <w:start w:val="1"/>
      <w:numFmt w:val="bullet"/>
      <w:lvlText w:val="ꟷ"/>
      <w:lvlJc w:val="left"/>
      <w:pPr>
        <w:tabs>
          <w:tab w:val="num" w:pos="1440"/>
        </w:tabs>
        <w:ind w:left="1440" w:hanging="360"/>
      </w:pPr>
      <w:rPr>
        <w:rFonts w:ascii="Calibri" w:hAnsi="Calibri" w:hint="default"/>
      </w:rPr>
    </w:lvl>
    <w:lvl w:ilvl="2" w:tplc="D54419A8" w:tentative="1">
      <w:start w:val="1"/>
      <w:numFmt w:val="bullet"/>
      <w:lvlText w:val="ꟷ"/>
      <w:lvlJc w:val="left"/>
      <w:pPr>
        <w:tabs>
          <w:tab w:val="num" w:pos="2160"/>
        </w:tabs>
        <w:ind w:left="2160" w:hanging="360"/>
      </w:pPr>
      <w:rPr>
        <w:rFonts w:ascii="Calibri" w:hAnsi="Calibri" w:hint="default"/>
      </w:rPr>
    </w:lvl>
    <w:lvl w:ilvl="3" w:tplc="8CDECB3C" w:tentative="1">
      <w:start w:val="1"/>
      <w:numFmt w:val="bullet"/>
      <w:lvlText w:val="ꟷ"/>
      <w:lvlJc w:val="left"/>
      <w:pPr>
        <w:tabs>
          <w:tab w:val="num" w:pos="2880"/>
        </w:tabs>
        <w:ind w:left="2880" w:hanging="360"/>
      </w:pPr>
      <w:rPr>
        <w:rFonts w:ascii="Calibri" w:hAnsi="Calibri" w:hint="default"/>
      </w:rPr>
    </w:lvl>
    <w:lvl w:ilvl="4" w:tplc="3BD83D9E" w:tentative="1">
      <w:start w:val="1"/>
      <w:numFmt w:val="bullet"/>
      <w:lvlText w:val="ꟷ"/>
      <w:lvlJc w:val="left"/>
      <w:pPr>
        <w:tabs>
          <w:tab w:val="num" w:pos="3600"/>
        </w:tabs>
        <w:ind w:left="3600" w:hanging="360"/>
      </w:pPr>
      <w:rPr>
        <w:rFonts w:ascii="Calibri" w:hAnsi="Calibri" w:hint="default"/>
      </w:rPr>
    </w:lvl>
    <w:lvl w:ilvl="5" w:tplc="67B27746" w:tentative="1">
      <w:start w:val="1"/>
      <w:numFmt w:val="bullet"/>
      <w:lvlText w:val="ꟷ"/>
      <w:lvlJc w:val="left"/>
      <w:pPr>
        <w:tabs>
          <w:tab w:val="num" w:pos="4320"/>
        </w:tabs>
        <w:ind w:left="4320" w:hanging="360"/>
      </w:pPr>
      <w:rPr>
        <w:rFonts w:ascii="Calibri" w:hAnsi="Calibri" w:hint="default"/>
      </w:rPr>
    </w:lvl>
    <w:lvl w:ilvl="6" w:tplc="58D6839A" w:tentative="1">
      <w:start w:val="1"/>
      <w:numFmt w:val="bullet"/>
      <w:lvlText w:val="ꟷ"/>
      <w:lvlJc w:val="left"/>
      <w:pPr>
        <w:tabs>
          <w:tab w:val="num" w:pos="5040"/>
        </w:tabs>
        <w:ind w:left="5040" w:hanging="360"/>
      </w:pPr>
      <w:rPr>
        <w:rFonts w:ascii="Calibri" w:hAnsi="Calibri" w:hint="default"/>
      </w:rPr>
    </w:lvl>
    <w:lvl w:ilvl="7" w:tplc="51D60C8C" w:tentative="1">
      <w:start w:val="1"/>
      <w:numFmt w:val="bullet"/>
      <w:lvlText w:val="ꟷ"/>
      <w:lvlJc w:val="left"/>
      <w:pPr>
        <w:tabs>
          <w:tab w:val="num" w:pos="5760"/>
        </w:tabs>
        <w:ind w:left="5760" w:hanging="360"/>
      </w:pPr>
      <w:rPr>
        <w:rFonts w:ascii="Calibri" w:hAnsi="Calibri" w:hint="default"/>
      </w:rPr>
    </w:lvl>
    <w:lvl w:ilvl="8" w:tplc="9BF69290" w:tentative="1">
      <w:start w:val="1"/>
      <w:numFmt w:val="bullet"/>
      <w:lvlText w:val="ꟷ"/>
      <w:lvlJc w:val="left"/>
      <w:pPr>
        <w:tabs>
          <w:tab w:val="num" w:pos="6480"/>
        </w:tabs>
        <w:ind w:left="6480" w:hanging="360"/>
      </w:pPr>
      <w:rPr>
        <w:rFonts w:ascii="Calibri" w:hAnsi="Calibri" w:hint="default"/>
      </w:rPr>
    </w:lvl>
  </w:abstractNum>
  <w:abstractNum w:abstractNumId="21" w15:restartNumberingAfterBreak="0">
    <w:nsid w:val="7A5A331A"/>
    <w:multiLevelType w:val="hybridMultilevel"/>
    <w:tmpl w:val="367C902C"/>
    <w:lvl w:ilvl="0" w:tplc="4A7A91B8">
      <w:start w:val="1"/>
      <w:numFmt w:val="bullet"/>
      <w:lvlText w:val="•"/>
      <w:lvlJc w:val="left"/>
      <w:pPr>
        <w:tabs>
          <w:tab w:val="num" w:pos="720"/>
        </w:tabs>
        <w:ind w:left="720" w:hanging="360"/>
      </w:pPr>
      <w:rPr>
        <w:rFonts w:ascii="Arial" w:hAnsi="Arial" w:hint="default"/>
      </w:rPr>
    </w:lvl>
    <w:lvl w:ilvl="1" w:tplc="BADE6580">
      <w:start w:val="84"/>
      <w:numFmt w:val="bullet"/>
      <w:lvlText w:val="–"/>
      <w:lvlJc w:val="left"/>
      <w:pPr>
        <w:tabs>
          <w:tab w:val="num" w:pos="1440"/>
        </w:tabs>
        <w:ind w:left="1440" w:hanging="360"/>
      </w:pPr>
      <w:rPr>
        <w:rFonts w:ascii="Arial" w:hAnsi="Arial" w:hint="default"/>
      </w:rPr>
    </w:lvl>
    <w:lvl w:ilvl="2" w:tplc="6CB862A2" w:tentative="1">
      <w:start w:val="1"/>
      <w:numFmt w:val="bullet"/>
      <w:lvlText w:val="•"/>
      <w:lvlJc w:val="left"/>
      <w:pPr>
        <w:tabs>
          <w:tab w:val="num" w:pos="2160"/>
        </w:tabs>
        <w:ind w:left="2160" w:hanging="360"/>
      </w:pPr>
      <w:rPr>
        <w:rFonts w:ascii="Arial" w:hAnsi="Arial" w:hint="default"/>
      </w:rPr>
    </w:lvl>
    <w:lvl w:ilvl="3" w:tplc="5E6A648A" w:tentative="1">
      <w:start w:val="1"/>
      <w:numFmt w:val="bullet"/>
      <w:lvlText w:val="•"/>
      <w:lvlJc w:val="left"/>
      <w:pPr>
        <w:tabs>
          <w:tab w:val="num" w:pos="2880"/>
        </w:tabs>
        <w:ind w:left="2880" w:hanging="360"/>
      </w:pPr>
      <w:rPr>
        <w:rFonts w:ascii="Arial" w:hAnsi="Arial" w:hint="default"/>
      </w:rPr>
    </w:lvl>
    <w:lvl w:ilvl="4" w:tplc="77F0A94E" w:tentative="1">
      <w:start w:val="1"/>
      <w:numFmt w:val="bullet"/>
      <w:lvlText w:val="•"/>
      <w:lvlJc w:val="left"/>
      <w:pPr>
        <w:tabs>
          <w:tab w:val="num" w:pos="3600"/>
        </w:tabs>
        <w:ind w:left="3600" w:hanging="360"/>
      </w:pPr>
      <w:rPr>
        <w:rFonts w:ascii="Arial" w:hAnsi="Arial" w:hint="default"/>
      </w:rPr>
    </w:lvl>
    <w:lvl w:ilvl="5" w:tplc="8F4864B0" w:tentative="1">
      <w:start w:val="1"/>
      <w:numFmt w:val="bullet"/>
      <w:lvlText w:val="•"/>
      <w:lvlJc w:val="left"/>
      <w:pPr>
        <w:tabs>
          <w:tab w:val="num" w:pos="4320"/>
        </w:tabs>
        <w:ind w:left="4320" w:hanging="360"/>
      </w:pPr>
      <w:rPr>
        <w:rFonts w:ascii="Arial" w:hAnsi="Arial" w:hint="default"/>
      </w:rPr>
    </w:lvl>
    <w:lvl w:ilvl="6" w:tplc="24F2AF84" w:tentative="1">
      <w:start w:val="1"/>
      <w:numFmt w:val="bullet"/>
      <w:lvlText w:val="•"/>
      <w:lvlJc w:val="left"/>
      <w:pPr>
        <w:tabs>
          <w:tab w:val="num" w:pos="5040"/>
        </w:tabs>
        <w:ind w:left="5040" w:hanging="360"/>
      </w:pPr>
      <w:rPr>
        <w:rFonts w:ascii="Arial" w:hAnsi="Arial" w:hint="default"/>
      </w:rPr>
    </w:lvl>
    <w:lvl w:ilvl="7" w:tplc="D29A161C" w:tentative="1">
      <w:start w:val="1"/>
      <w:numFmt w:val="bullet"/>
      <w:lvlText w:val="•"/>
      <w:lvlJc w:val="left"/>
      <w:pPr>
        <w:tabs>
          <w:tab w:val="num" w:pos="5760"/>
        </w:tabs>
        <w:ind w:left="5760" w:hanging="360"/>
      </w:pPr>
      <w:rPr>
        <w:rFonts w:ascii="Arial" w:hAnsi="Arial" w:hint="default"/>
      </w:rPr>
    </w:lvl>
    <w:lvl w:ilvl="8" w:tplc="8012B83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EC07117"/>
    <w:multiLevelType w:val="hybridMultilevel"/>
    <w:tmpl w:val="81C0148C"/>
    <w:lvl w:ilvl="0" w:tplc="A83A6C2A">
      <w:start w:val="1"/>
      <w:numFmt w:val="bullet"/>
      <w:lvlText w:val="•"/>
      <w:lvlJc w:val="left"/>
      <w:pPr>
        <w:tabs>
          <w:tab w:val="num" w:pos="720"/>
        </w:tabs>
        <w:ind w:left="720" w:hanging="360"/>
      </w:pPr>
      <w:rPr>
        <w:rFonts w:ascii="Arial" w:hAnsi="Arial" w:hint="default"/>
      </w:rPr>
    </w:lvl>
    <w:lvl w:ilvl="1" w:tplc="05D8681E" w:tentative="1">
      <w:start w:val="1"/>
      <w:numFmt w:val="bullet"/>
      <w:lvlText w:val="•"/>
      <w:lvlJc w:val="left"/>
      <w:pPr>
        <w:tabs>
          <w:tab w:val="num" w:pos="1440"/>
        </w:tabs>
        <w:ind w:left="1440" w:hanging="360"/>
      </w:pPr>
      <w:rPr>
        <w:rFonts w:ascii="Arial" w:hAnsi="Arial" w:hint="default"/>
      </w:rPr>
    </w:lvl>
    <w:lvl w:ilvl="2" w:tplc="AE8EF2DC" w:tentative="1">
      <w:start w:val="1"/>
      <w:numFmt w:val="bullet"/>
      <w:lvlText w:val="•"/>
      <w:lvlJc w:val="left"/>
      <w:pPr>
        <w:tabs>
          <w:tab w:val="num" w:pos="2160"/>
        </w:tabs>
        <w:ind w:left="2160" w:hanging="360"/>
      </w:pPr>
      <w:rPr>
        <w:rFonts w:ascii="Arial" w:hAnsi="Arial" w:hint="default"/>
      </w:rPr>
    </w:lvl>
    <w:lvl w:ilvl="3" w:tplc="AB2E9BF4" w:tentative="1">
      <w:start w:val="1"/>
      <w:numFmt w:val="bullet"/>
      <w:lvlText w:val="•"/>
      <w:lvlJc w:val="left"/>
      <w:pPr>
        <w:tabs>
          <w:tab w:val="num" w:pos="2880"/>
        </w:tabs>
        <w:ind w:left="2880" w:hanging="360"/>
      </w:pPr>
      <w:rPr>
        <w:rFonts w:ascii="Arial" w:hAnsi="Arial" w:hint="default"/>
      </w:rPr>
    </w:lvl>
    <w:lvl w:ilvl="4" w:tplc="66E01580" w:tentative="1">
      <w:start w:val="1"/>
      <w:numFmt w:val="bullet"/>
      <w:lvlText w:val="•"/>
      <w:lvlJc w:val="left"/>
      <w:pPr>
        <w:tabs>
          <w:tab w:val="num" w:pos="3600"/>
        </w:tabs>
        <w:ind w:left="3600" w:hanging="360"/>
      </w:pPr>
      <w:rPr>
        <w:rFonts w:ascii="Arial" w:hAnsi="Arial" w:hint="default"/>
      </w:rPr>
    </w:lvl>
    <w:lvl w:ilvl="5" w:tplc="1F66D566" w:tentative="1">
      <w:start w:val="1"/>
      <w:numFmt w:val="bullet"/>
      <w:lvlText w:val="•"/>
      <w:lvlJc w:val="left"/>
      <w:pPr>
        <w:tabs>
          <w:tab w:val="num" w:pos="4320"/>
        </w:tabs>
        <w:ind w:left="4320" w:hanging="360"/>
      </w:pPr>
      <w:rPr>
        <w:rFonts w:ascii="Arial" w:hAnsi="Arial" w:hint="default"/>
      </w:rPr>
    </w:lvl>
    <w:lvl w:ilvl="6" w:tplc="454CE142" w:tentative="1">
      <w:start w:val="1"/>
      <w:numFmt w:val="bullet"/>
      <w:lvlText w:val="•"/>
      <w:lvlJc w:val="left"/>
      <w:pPr>
        <w:tabs>
          <w:tab w:val="num" w:pos="5040"/>
        </w:tabs>
        <w:ind w:left="5040" w:hanging="360"/>
      </w:pPr>
      <w:rPr>
        <w:rFonts w:ascii="Arial" w:hAnsi="Arial" w:hint="default"/>
      </w:rPr>
    </w:lvl>
    <w:lvl w:ilvl="7" w:tplc="5F467B8E" w:tentative="1">
      <w:start w:val="1"/>
      <w:numFmt w:val="bullet"/>
      <w:lvlText w:val="•"/>
      <w:lvlJc w:val="left"/>
      <w:pPr>
        <w:tabs>
          <w:tab w:val="num" w:pos="5760"/>
        </w:tabs>
        <w:ind w:left="5760" w:hanging="360"/>
      </w:pPr>
      <w:rPr>
        <w:rFonts w:ascii="Arial" w:hAnsi="Arial" w:hint="default"/>
      </w:rPr>
    </w:lvl>
    <w:lvl w:ilvl="8" w:tplc="5F3881BE" w:tentative="1">
      <w:start w:val="1"/>
      <w:numFmt w:val="bullet"/>
      <w:lvlText w:val="•"/>
      <w:lvlJc w:val="left"/>
      <w:pPr>
        <w:tabs>
          <w:tab w:val="num" w:pos="6480"/>
        </w:tabs>
        <w:ind w:left="6480" w:hanging="360"/>
      </w:pPr>
      <w:rPr>
        <w:rFonts w:ascii="Arial" w:hAnsi="Arial" w:hint="default"/>
      </w:rPr>
    </w:lvl>
  </w:abstractNum>
  <w:num w:numId="1" w16cid:durableId="1045325330">
    <w:abstractNumId w:val="14"/>
  </w:num>
  <w:num w:numId="2" w16cid:durableId="947741525">
    <w:abstractNumId w:val="10"/>
  </w:num>
  <w:num w:numId="3" w16cid:durableId="2026444465">
    <w:abstractNumId w:val="19"/>
  </w:num>
  <w:num w:numId="4" w16cid:durableId="1933855987">
    <w:abstractNumId w:val="22"/>
  </w:num>
  <w:num w:numId="5" w16cid:durableId="1462530004">
    <w:abstractNumId w:val="17"/>
  </w:num>
  <w:num w:numId="6" w16cid:durableId="1451583160">
    <w:abstractNumId w:val="8"/>
  </w:num>
  <w:num w:numId="7" w16cid:durableId="151722754">
    <w:abstractNumId w:val="1"/>
  </w:num>
  <w:num w:numId="8" w16cid:durableId="1669210021">
    <w:abstractNumId w:val="11"/>
  </w:num>
  <w:num w:numId="9" w16cid:durableId="1554342639">
    <w:abstractNumId w:val="21"/>
  </w:num>
  <w:num w:numId="10" w16cid:durableId="1358581995">
    <w:abstractNumId w:val="4"/>
  </w:num>
  <w:num w:numId="11" w16cid:durableId="1160005923">
    <w:abstractNumId w:val="15"/>
  </w:num>
  <w:num w:numId="12" w16cid:durableId="961620103">
    <w:abstractNumId w:val="6"/>
  </w:num>
  <w:num w:numId="13" w16cid:durableId="1078136587">
    <w:abstractNumId w:val="2"/>
  </w:num>
  <w:num w:numId="14" w16cid:durableId="713775548">
    <w:abstractNumId w:val="20"/>
  </w:num>
  <w:num w:numId="15" w16cid:durableId="1195188968">
    <w:abstractNumId w:val="13"/>
  </w:num>
  <w:num w:numId="16" w16cid:durableId="1413971250">
    <w:abstractNumId w:val="9"/>
  </w:num>
  <w:num w:numId="17" w16cid:durableId="1868249758">
    <w:abstractNumId w:val="5"/>
  </w:num>
  <w:num w:numId="18" w16cid:durableId="981303158">
    <w:abstractNumId w:val="0"/>
  </w:num>
  <w:num w:numId="19" w16cid:durableId="670257342">
    <w:abstractNumId w:val="12"/>
  </w:num>
  <w:num w:numId="20" w16cid:durableId="1328828397">
    <w:abstractNumId w:val="16"/>
  </w:num>
  <w:num w:numId="21" w16cid:durableId="532765561">
    <w:abstractNumId w:val="3"/>
  </w:num>
  <w:num w:numId="22" w16cid:durableId="983433831">
    <w:abstractNumId w:val="18"/>
  </w:num>
  <w:num w:numId="23" w16cid:durableId="6311356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114"/>
    <w:rsid w:val="00000109"/>
    <w:rsid w:val="000016EA"/>
    <w:rsid w:val="00003156"/>
    <w:rsid w:val="000045DE"/>
    <w:rsid w:val="00005293"/>
    <w:rsid w:val="00007EC1"/>
    <w:rsid w:val="0001195A"/>
    <w:rsid w:val="000121EA"/>
    <w:rsid w:val="00013768"/>
    <w:rsid w:val="00013D23"/>
    <w:rsid w:val="00015118"/>
    <w:rsid w:val="000157FD"/>
    <w:rsid w:val="00015BAC"/>
    <w:rsid w:val="00020687"/>
    <w:rsid w:val="000211BE"/>
    <w:rsid w:val="0002297B"/>
    <w:rsid w:val="00022DBA"/>
    <w:rsid w:val="00025FC5"/>
    <w:rsid w:val="00026DD3"/>
    <w:rsid w:val="00027B5F"/>
    <w:rsid w:val="00030E34"/>
    <w:rsid w:val="00030F2A"/>
    <w:rsid w:val="000334E7"/>
    <w:rsid w:val="000345E8"/>
    <w:rsid w:val="0003577D"/>
    <w:rsid w:val="0004216A"/>
    <w:rsid w:val="00043365"/>
    <w:rsid w:val="000439CE"/>
    <w:rsid w:val="00043A9A"/>
    <w:rsid w:val="0004632D"/>
    <w:rsid w:val="00047804"/>
    <w:rsid w:val="00050C33"/>
    <w:rsid w:val="0005234F"/>
    <w:rsid w:val="000524D3"/>
    <w:rsid w:val="0005365F"/>
    <w:rsid w:val="00056288"/>
    <w:rsid w:val="000565B8"/>
    <w:rsid w:val="00057F43"/>
    <w:rsid w:val="0005E022"/>
    <w:rsid w:val="0006026A"/>
    <w:rsid w:val="00061B71"/>
    <w:rsid w:val="00062A89"/>
    <w:rsid w:val="00064BF0"/>
    <w:rsid w:val="00065C6F"/>
    <w:rsid w:val="000662D4"/>
    <w:rsid w:val="00067ADF"/>
    <w:rsid w:val="00070725"/>
    <w:rsid w:val="00071464"/>
    <w:rsid w:val="000718EF"/>
    <w:rsid w:val="00071956"/>
    <w:rsid w:val="00073E9C"/>
    <w:rsid w:val="000750A8"/>
    <w:rsid w:val="00076E07"/>
    <w:rsid w:val="00077D5F"/>
    <w:rsid w:val="00080AF8"/>
    <w:rsid w:val="000824D6"/>
    <w:rsid w:val="00082742"/>
    <w:rsid w:val="0008341C"/>
    <w:rsid w:val="000841E1"/>
    <w:rsid w:val="00084D88"/>
    <w:rsid w:val="00084EBF"/>
    <w:rsid w:val="00085200"/>
    <w:rsid w:val="00085801"/>
    <w:rsid w:val="00086855"/>
    <w:rsid w:val="00090166"/>
    <w:rsid w:val="000956A0"/>
    <w:rsid w:val="00095BB0"/>
    <w:rsid w:val="0009610C"/>
    <w:rsid w:val="00096A9A"/>
    <w:rsid w:val="00097A76"/>
    <w:rsid w:val="000A02C7"/>
    <w:rsid w:val="000A1B9C"/>
    <w:rsid w:val="000A1CA8"/>
    <w:rsid w:val="000A1E94"/>
    <w:rsid w:val="000A44E1"/>
    <w:rsid w:val="000A551E"/>
    <w:rsid w:val="000A7CB9"/>
    <w:rsid w:val="000B0111"/>
    <w:rsid w:val="000B0614"/>
    <w:rsid w:val="000B0660"/>
    <w:rsid w:val="000B60C3"/>
    <w:rsid w:val="000C0177"/>
    <w:rsid w:val="000C13DD"/>
    <w:rsid w:val="000C24C0"/>
    <w:rsid w:val="000C2E5B"/>
    <w:rsid w:val="000C3252"/>
    <w:rsid w:val="000C392B"/>
    <w:rsid w:val="000C3AFB"/>
    <w:rsid w:val="000C4026"/>
    <w:rsid w:val="000C6B20"/>
    <w:rsid w:val="000C6FD8"/>
    <w:rsid w:val="000D252F"/>
    <w:rsid w:val="000D35D1"/>
    <w:rsid w:val="000D3EC5"/>
    <w:rsid w:val="000D505C"/>
    <w:rsid w:val="000D67B2"/>
    <w:rsid w:val="000D7F99"/>
    <w:rsid w:val="000E02A6"/>
    <w:rsid w:val="000E1F3B"/>
    <w:rsid w:val="000E239C"/>
    <w:rsid w:val="000E306C"/>
    <w:rsid w:val="000E6310"/>
    <w:rsid w:val="000E770B"/>
    <w:rsid w:val="000F0056"/>
    <w:rsid w:val="000F3861"/>
    <w:rsid w:val="000F57F0"/>
    <w:rsid w:val="000F5B8A"/>
    <w:rsid w:val="000F5F33"/>
    <w:rsid w:val="000F702C"/>
    <w:rsid w:val="000F7056"/>
    <w:rsid w:val="000F78CB"/>
    <w:rsid w:val="000F799B"/>
    <w:rsid w:val="00101747"/>
    <w:rsid w:val="00101AB2"/>
    <w:rsid w:val="00104DE8"/>
    <w:rsid w:val="0010505B"/>
    <w:rsid w:val="00106075"/>
    <w:rsid w:val="00106FE5"/>
    <w:rsid w:val="00107266"/>
    <w:rsid w:val="0010778F"/>
    <w:rsid w:val="00107D6C"/>
    <w:rsid w:val="0011113D"/>
    <w:rsid w:val="00111171"/>
    <w:rsid w:val="00111A18"/>
    <w:rsid w:val="001138F6"/>
    <w:rsid w:val="00114117"/>
    <w:rsid w:val="0011684E"/>
    <w:rsid w:val="00116C06"/>
    <w:rsid w:val="00116E08"/>
    <w:rsid w:val="00121BCA"/>
    <w:rsid w:val="0012365B"/>
    <w:rsid w:val="001241C5"/>
    <w:rsid w:val="001249FF"/>
    <w:rsid w:val="00125240"/>
    <w:rsid w:val="00125F9A"/>
    <w:rsid w:val="001261C1"/>
    <w:rsid w:val="0012621A"/>
    <w:rsid w:val="00126574"/>
    <w:rsid w:val="0013009B"/>
    <w:rsid w:val="00130ED5"/>
    <w:rsid w:val="00130F42"/>
    <w:rsid w:val="0013151A"/>
    <w:rsid w:val="00134449"/>
    <w:rsid w:val="00134B8C"/>
    <w:rsid w:val="00134D06"/>
    <w:rsid w:val="00134EF5"/>
    <w:rsid w:val="00135C36"/>
    <w:rsid w:val="001360B4"/>
    <w:rsid w:val="0013658F"/>
    <w:rsid w:val="001366A0"/>
    <w:rsid w:val="00140CA0"/>
    <w:rsid w:val="00141FB7"/>
    <w:rsid w:val="0014237D"/>
    <w:rsid w:val="0014330E"/>
    <w:rsid w:val="0014408D"/>
    <w:rsid w:val="00145C93"/>
    <w:rsid w:val="00147958"/>
    <w:rsid w:val="001503C9"/>
    <w:rsid w:val="00152C64"/>
    <w:rsid w:val="001555B2"/>
    <w:rsid w:val="001608D6"/>
    <w:rsid w:val="001641F5"/>
    <w:rsid w:val="0016443A"/>
    <w:rsid w:val="00165FDD"/>
    <w:rsid w:val="00170708"/>
    <w:rsid w:val="00171EFE"/>
    <w:rsid w:val="00171F11"/>
    <w:rsid w:val="001723B9"/>
    <w:rsid w:val="001730A0"/>
    <w:rsid w:val="00173526"/>
    <w:rsid w:val="00173D40"/>
    <w:rsid w:val="0017696B"/>
    <w:rsid w:val="0018010E"/>
    <w:rsid w:val="001819F1"/>
    <w:rsid w:val="00181C4F"/>
    <w:rsid w:val="001827E7"/>
    <w:rsid w:val="00182E7D"/>
    <w:rsid w:val="00184108"/>
    <w:rsid w:val="00184367"/>
    <w:rsid w:val="00184CAE"/>
    <w:rsid w:val="00185CB8"/>
    <w:rsid w:val="0018720D"/>
    <w:rsid w:val="001950F5"/>
    <w:rsid w:val="00196684"/>
    <w:rsid w:val="0019DD80"/>
    <w:rsid w:val="001A2AB8"/>
    <w:rsid w:val="001A3426"/>
    <w:rsid w:val="001A48DB"/>
    <w:rsid w:val="001A53E3"/>
    <w:rsid w:val="001A64B1"/>
    <w:rsid w:val="001A7D65"/>
    <w:rsid w:val="001B0950"/>
    <w:rsid w:val="001B0D41"/>
    <w:rsid w:val="001B0E55"/>
    <w:rsid w:val="001B1787"/>
    <w:rsid w:val="001B393E"/>
    <w:rsid w:val="001B44FD"/>
    <w:rsid w:val="001B4A8E"/>
    <w:rsid w:val="001B63FE"/>
    <w:rsid w:val="001B66C8"/>
    <w:rsid w:val="001B7A34"/>
    <w:rsid w:val="001C18F4"/>
    <w:rsid w:val="001C32A5"/>
    <w:rsid w:val="001C4641"/>
    <w:rsid w:val="001C6CCE"/>
    <w:rsid w:val="001C79B0"/>
    <w:rsid w:val="001C7FE8"/>
    <w:rsid w:val="001D0264"/>
    <w:rsid w:val="001D0D24"/>
    <w:rsid w:val="001D0F66"/>
    <w:rsid w:val="001D254E"/>
    <w:rsid w:val="001D2A58"/>
    <w:rsid w:val="001D2B26"/>
    <w:rsid w:val="001D3237"/>
    <w:rsid w:val="001D5BFC"/>
    <w:rsid w:val="001D6FEC"/>
    <w:rsid w:val="001E0178"/>
    <w:rsid w:val="001E08CC"/>
    <w:rsid w:val="001E0B16"/>
    <w:rsid w:val="001E3C59"/>
    <w:rsid w:val="001E3D9B"/>
    <w:rsid w:val="001E4270"/>
    <w:rsid w:val="001E6C63"/>
    <w:rsid w:val="001E7142"/>
    <w:rsid w:val="001F1C44"/>
    <w:rsid w:val="001F1E92"/>
    <w:rsid w:val="001F2578"/>
    <w:rsid w:val="001F3854"/>
    <w:rsid w:val="001F4956"/>
    <w:rsid w:val="001F701E"/>
    <w:rsid w:val="00200424"/>
    <w:rsid w:val="00200638"/>
    <w:rsid w:val="0020256A"/>
    <w:rsid w:val="002028E3"/>
    <w:rsid w:val="00205469"/>
    <w:rsid w:val="00206CB9"/>
    <w:rsid w:val="00207DE4"/>
    <w:rsid w:val="00207EA5"/>
    <w:rsid w:val="00210844"/>
    <w:rsid w:val="002115E1"/>
    <w:rsid w:val="00211791"/>
    <w:rsid w:val="00211E47"/>
    <w:rsid w:val="00213294"/>
    <w:rsid w:val="00213B76"/>
    <w:rsid w:val="00213D01"/>
    <w:rsid w:val="002158A9"/>
    <w:rsid w:val="002225FB"/>
    <w:rsid w:val="00222CC4"/>
    <w:rsid w:val="00223CA9"/>
    <w:rsid w:val="002251D4"/>
    <w:rsid w:val="002255C1"/>
    <w:rsid w:val="00225860"/>
    <w:rsid w:val="00226FA3"/>
    <w:rsid w:val="00227833"/>
    <w:rsid w:val="00235B9B"/>
    <w:rsid w:val="00235CF6"/>
    <w:rsid w:val="00236C62"/>
    <w:rsid w:val="00236CDA"/>
    <w:rsid w:val="00237985"/>
    <w:rsid w:val="0024158D"/>
    <w:rsid w:val="00241EE8"/>
    <w:rsid w:val="002428F6"/>
    <w:rsid w:val="00243A2D"/>
    <w:rsid w:val="00250CAA"/>
    <w:rsid w:val="002517A5"/>
    <w:rsid w:val="002519B4"/>
    <w:rsid w:val="0025289D"/>
    <w:rsid w:val="00252F2B"/>
    <w:rsid w:val="00253F74"/>
    <w:rsid w:val="00256753"/>
    <w:rsid w:val="00257846"/>
    <w:rsid w:val="002579D6"/>
    <w:rsid w:val="00260AD9"/>
    <w:rsid w:val="00265BF3"/>
    <w:rsid w:val="00266418"/>
    <w:rsid w:val="00266815"/>
    <w:rsid w:val="002675C1"/>
    <w:rsid w:val="0027117E"/>
    <w:rsid w:val="0027390F"/>
    <w:rsid w:val="00273CB3"/>
    <w:rsid w:val="002769D2"/>
    <w:rsid w:val="0028057E"/>
    <w:rsid w:val="00281D4D"/>
    <w:rsid w:val="00283C4B"/>
    <w:rsid w:val="00283C76"/>
    <w:rsid w:val="002844BF"/>
    <w:rsid w:val="002863E6"/>
    <w:rsid w:val="002901BA"/>
    <w:rsid w:val="00290243"/>
    <w:rsid w:val="00290AD9"/>
    <w:rsid w:val="00292192"/>
    <w:rsid w:val="002924B4"/>
    <w:rsid w:val="00292E4E"/>
    <w:rsid w:val="002944D3"/>
    <w:rsid w:val="00294E89"/>
    <w:rsid w:val="00295110"/>
    <w:rsid w:val="00295813"/>
    <w:rsid w:val="0029588B"/>
    <w:rsid w:val="002963BE"/>
    <w:rsid w:val="00297794"/>
    <w:rsid w:val="002A091B"/>
    <w:rsid w:val="002A281B"/>
    <w:rsid w:val="002A6C31"/>
    <w:rsid w:val="002A6CA7"/>
    <w:rsid w:val="002B02FC"/>
    <w:rsid w:val="002B0B3B"/>
    <w:rsid w:val="002B35FD"/>
    <w:rsid w:val="002B37AA"/>
    <w:rsid w:val="002B37C3"/>
    <w:rsid w:val="002B3C21"/>
    <w:rsid w:val="002B445A"/>
    <w:rsid w:val="002B4B6D"/>
    <w:rsid w:val="002B4E7D"/>
    <w:rsid w:val="002B7F48"/>
    <w:rsid w:val="002C1FB6"/>
    <w:rsid w:val="002C212E"/>
    <w:rsid w:val="002C327E"/>
    <w:rsid w:val="002C350F"/>
    <w:rsid w:val="002C3AEA"/>
    <w:rsid w:val="002C42DB"/>
    <w:rsid w:val="002C5963"/>
    <w:rsid w:val="002C59A4"/>
    <w:rsid w:val="002C7465"/>
    <w:rsid w:val="002D16CD"/>
    <w:rsid w:val="002D2080"/>
    <w:rsid w:val="002D4106"/>
    <w:rsid w:val="002D519D"/>
    <w:rsid w:val="002D6869"/>
    <w:rsid w:val="002D719F"/>
    <w:rsid w:val="002D73E6"/>
    <w:rsid w:val="002D75E4"/>
    <w:rsid w:val="002E10F4"/>
    <w:rsid w:val="002E22D7"/>
    <w:rsid w:val="002E2B64"/>
    <w:rsid w:val="002E35AD"/>
    <w:rsid w:val="002E5D5C"/>
    <w:rsid w:val="002E65D3"/>
    <w:rsid w:val="002E7CBB"/>
    <w:rsid w:val="002F16AD"/>
    <w:rsid w:val="002F361E"/>
    <w:rsid w:val="002F3670"/>
    <w:rsid w:val="002F3C04"/>
    <w:rsid w:val="002F3C9D"/>
    <w:rsid w:val="002F4483"/>
    <w:rsid w:val="002F51A3"/>
    <w:rsid w:val="002F7091"/>
    <w:rsid w:val="002F7176"/>
    <w:rsid w:val="003004DA"/>
    <w:rsid w:val="00300AE2"/>
    <w:rsid w:val="00300D80"/>
    <w:rsid w:val="003026D4"/>
    <w:rsid w:val="00302911"/>
    <w:rsid w:val="00302DE6"/>
    <w:rsid w:val="003030EB"/>
    <w:rsid w:val="00303378"/>
    <w:rsid w:val="00305835"/>
    <w:rsid w:val="00305C49"/>
    <w:rsid w:val="0030640F"/>
    <w:rsid w:val="00311C76"/>
    <w:rsid w:val="00312C7D"/>
    <w:rsid w:val="003156A6"/>
    <w:rsid w:val="003157F4"/>
    <w:rsid w:val="00315DBD"/>
    <w:rsid w:val="00320648"/>
    <w:rsid w:val="003219CF"/>
    <w:rsid w:val="00323021"/>
    <w:rsid w:val="0032507B"/>
    <w:rsid w:val="003274C8"/>
    <w:rsid w:val="003279F1"/>
    <w:rsid w:val="00332EA8"/>
    <w:rsid w:val="00336245"/>
    <w:rsid w:val="0033719A"/>
    <w:rsid w:val="0034004E"/>
    <w:rsid w:val="00344D1E"/>
    <w:rsid w:val="003465B2"/>
    <w:rsid w:val="00347594"/>
    <w:rsid w:val="003512A4"/>
    <w:rsid w:val="00351B83"/>
    <w:rsid w:val="00352D4E"/>
    <w:rsid w:val="00354090"/>
    <w:rsid w:val="00357124"/>
    <w:rsid w:val="00357737"/>
    <w:rsid w:val="003610D7"/>
    <w:rsid w:val="00361C75"/>
    <w:rsid w:val="0036456F"/>
    <w:rsid w:val="00370D16"/>
    <w:rsid w:val="003713AA"/>
    <w:rsid w:val="00371557"/>
    <w:rsid w:val="003716CE"/>
    <w:rsid w:val="00371A87"/>
    <w:rsid w:val="00372AA6"/>
    <w:rsid w:val="003737D2"/>
    <w:rsid w:val="00373CD0"/>
    <w:rsid w:val="0037464F"/>
    <w:rsid w:val="003753B5"/>
    <w:rsid w:val="00377355"/>
    <w:rsid w:val="003774E8"/>
    <w:rsid w:val="003814DB"/>
    <w:rsid w:val="003815DE"/>
    <w:rsid w:val="00383E20"/>
    <w:rsid w:val="00384031"/>
    <w:rsid w:val="00384DA5"/>
    <w:rsid w:val="00385434"/>
    <w:rsid w:val="00385EC7"/>
    <w:rsid w:val="00385F93"/>
    <w:rsid w:val="00386A19"/>
    <w:rsid w:val="00387540"/>
    <w:rsid w:val="00387819"/>
    <w:rsid w:val="00387A0D"/>
    <w:rsid w:val="00387B00"/>
    <w:rsid w:val="0039044E"/>
    <w:rsid w:val="00391729"/>
    <w:rsid w:val="00391D68"/>
    <w:rsid w:val="00392748"/>
    <w:rsid w:val="00392BFE"/>
    <w:rsid w:val="0039561A"/>
    <w:rsid w:val="00396743"/>
    <w:rsid w:val="00397B42"/>
    <w:rsid w:val="00397EC6"/>
    <w:rsid w:val="003B0D55"/>
    <w:rsid w:val="003B2252"/>
    <w:rsid w:val="003B394C"/>
    <w:rsid w:val="003B3B9E"/>
    <w:rsid w:val="003B3F46"/>
    <w:rsid w:val="003B57B7"/>
    <w:rsid w:val="003B5BBA"/>
    <w:rsid w:val="003B6A85"/>
    <w:rsid w:val="003B6CF9"/>
    <w:rsid w:val="003C153E"/>
    <w:rsid w:val="003C1ADD"/>
    <w:rsid w:val="003C2D26"/>
    <w:rsid w:val="003C3C47"/>
    <w:rsid w:val="003C413C"/>
    <w:rsid w:val="003C48A3"/>
    <w:rsid w:val="003C6569"/>
    <w:rsid w:val="003C7DBA"/>
    <w:rsid w:val="003D03FB"/>
    <w:rsid w:val="003D052E"/>
    <w:rsid w:val="003D0CC9"/>
    <w:rsid w:val="003D181D"/>
    <w:rsid w:val="003D201A"/>
    <w:rsid w:val="003D2B9E"/>
    <w:rsid w:val="003D4A66"/>
    <w:rsid w:val="003D56DC"/>
    <w:rsid w:val="003D5E80"/>
    <w:rsid w:val="003D6654"/>
    <w:rsid w:val="003D6775"/>
    <w:rsid w:val="003E066E"/>
    <w:rsid w:val="003E4816"/>
    <w:rsid w:val="003E5166"/>
    <w:rsid w:val="003E5B9B"/>
    <w:rsid w:val="003E5D7D"/>
    <w:rsid w:val="003E6D9D"/>
    <w:rsid w:val="003F1C69"/>
    <w:rsid w:val="003F2E36"/>
    <w:rsid w:val="003F3A98"/>
    <w:rsid w:val="003F3CC1"/>
    <w:rsid w:val="003F3FBA"/>
    <w:rsid w:val="003F4107"/>
    <w:rsid w:val="003F5BC4"/>
    <w:rsid w:val="003F6AD1"/>
    <w:rsid w:val="00401162"/>
    <w:rsid w:val="004035DB"/>
    <w:rsid w:val="004036B9"/>
    <w:rsid w:val="00403BE7"/>
    <w:rsid w:val="00404D76"/>
    <w:rsid w:val="00405E92"/>
    <w:rsid w:val="00407F3F"/>
    <w:rsid w:val="00410541"/>
    <w:rsid w:val="00410AF5"/>
    <w:rsid w:val="004122B5"/>
    <w:rsid w:val="004134E2"/>
    <w:rsid w:val="00413AEE"/>
    <w:rsid w:val="00413CBD"/>
    <w:rsid w:val="00415A27"/>
    <w:rsid w:val="00417083"/>
    <w:rsid w:val="00417305"/>
    <w:rsid w:val="00423775"/>
    <w:rsid w:val="00424815"/>
    <w:rsid w:val="00426CE9"/>
    <w:rsid w:val="0043136D"/>
    <w:rsid w:val="004320EB"/>
    <w:rsid w:val="004349B7"/>
    <w:rsid w:val="00434E2E"/>
    <w:rsid w:val="00436467"/>
    <w:rsid w:val="004368E3"/>
    <w:rsid w:val="00436C1E"/>
    <w:rsid w:val="004375F2"/>
    <w:rsid w:val="00442A60"/>
    <w:rsid w:val="00442AAD"/>
    <w:rsid w:val="00442F15"/>
    <w:rsid w:val="00450699"/>
    <w:rsid w:val="0045069D"/>
    <w:rsid w:val="00450BB4"/>
    <w:rsid w:val="004515CA"/>
    <w:rsid w:val="00452448"/>
    <w:rsid w:val="00453A84"/>
    <w:rsid w:val="00454D17"/>
    <w:rsid w:val="00455081"/>
    <w:rsid w:val="00455752"/>
    <w:rsid w:val="00456764"/>
    <w:rsid w:val="00457D6E"/>
    <w:rsid w:val="0046052D"/>
    <w:rsid w:val="004609E7"/>
    <w:rsid w:val="004625B5"/>
    <w:rsid w:val="00462782"/>
    <w:rsid w:val="004632B8"/>
    <w:rsid w:val="00465F50"/>
    <w:rsid w:val="004660D3"/>
    <w:rsid w:val="00466233"/>
    <w:rsid w:val="004676E1"/>
    <w:rsid w:val="004711BF"/>
    <w:rsid w:val="004720BC"/>
    <w:rsid w:val="00472A5D"/>
    <w:rsid w:val="00475166"/>
    <w:rsid w:val="00475926"/>
    <w:rsid w:val="00475ADF"/>
    <w:rsid w:val="00476076"/>
    <w:rsid w:val="0047682E"/>
    <w:rsid w:val="0047767E"/>
    <w:rsid w:val="00477BF5"/>
    <w:rsid w:val="004802AF"/>
    <w:rsid w:val="004806B0"/>
    <w:rsid w:val="0048349E"/>
    <w:rsid w:val="004845A6"/>
    <w:rsid w:val="00484620"/>
    <w:rsid w:val="00485467"/>
    <w:rsid w:val="004857C0"/>
    <w:rsid w:val="00487A99"/>
    <w:rsid w:val="00490518"/>
    <w:rsid w:val="004908F6"/>
    <w:rsid w:val="00490C1E"/>
    <w:rsid w:val="004914D9"/>
    <w:rsid w:val="00493A6E"/>
    <w:rsid w:val="004A05C5"/>
    <w:rsid w:val="004A181E"/>
    <w:rsid w:val="004A6F03"/>
    <w:rsid w:val="004B03AE"/>
    <w:rsid w:val="004B1072"/>
    <w:rsid w:val="004B10EA"/>
    <w:rsid w:val="004B3CE8"/>
    <w:rsid w:val="004B41F0"/>
    <w:rsid w:val="004B4471"/>
    <w:rsid w:val="004B4DCE"/>
    <w:rsid w:val="004B51EE"/>
    <w:rsid w:val="004B681E"/>
    <w:rsid w:val="004C005F"/>
    <w:rsid w:val="004C315D"/>
    <w:rsid w:val="004C3B47"/>
    <w:rsid w:val="004C4158"/>
    <w:rsid w:val="004C4D9D"/>
    <w:rsid w:val="004C52B9"/>
    <w:rsid w:val="004C67D0"/>
    <w:rsid w:val="004C6909"/>
    <w:rsid w:val="004C73E2"/>
    <w:rsid w:val="004D23C6"/>
    <w:rsid w:val="004D6F27"/>
    <w:rsid w:val="004D7392"/>
    <w:rsid w:val="004E070B"/>
    <w:rsid w:val="004E0E22"/>
    <w:rsid w:val="004E3A6B"/>
    <w:rsid w:val="004E5B46"/>
    <w:rsid w:val="004E5DF0"/>
    <w:rsid w:val="004E6170"/>
    <w:rsid w:val="004E6912"/>
    <w:rsid w:val="004E6BAE"/>
    <w:rsid w:val="004E6F96"/>
    <w:rsid w:val="004E792C"/>
    <w:rsid w:val="004E7EC3"/>
    <w:rsid w:val="004E7FF4"/>
    <w:rsid w:val="004F0546"/>
    <w:rsid w:val="004F06DB"/>
    <w:rsid w:val="004F15F8"/>
    <w:rsid w:val="004F1CBE"/>
    <w:rsid w:val="004F2BDC"/>
    <w:rsid w:val="004F5F64"/>
    <w:rsid w:val="004F79BC"/>
    <w:rsid w:val="005000CE"/>
    <w:rsid w:val="00501C85"/>
    <w:rsid w:val="00503585"/>
    <w:rsid w:val="00503B3A"/>
    <w:rsid w:val="00504604"/>
    <w:rsid w:val="00507AB1"/>
    <w:rsid w:val="0051018A"/>
    <w:rsid w:val="005117FF"/>
    <w:rsid w:val="005128AB"/>
    <w:rsid w:val="00512E91"/>
    <w:rsid w:val="005134B0"/>
    <w:rsid w:val="0051397D"/>
    <w:rsid w:val="005151D9"/>
    <w:rsid w:val="005162E2"/>
    <w:rsid w:val="00516EA2"/>
    <w:rsid w:val="00517CD7"/>
    <w:rsid w:val="0052044B"/>
    <w:rsid w:val="005207F2"/>
    <w:rsid w:val="00520934"/>
    <w:rsid w:val="005235FA"/>
    <w:rsid w:val="005251C2"/>
    <w:rsid w:val="0052542C"/>
    <w:rsid w:val="005255EB"/>
    <w:rsid w:val="00525B92"/>
    <w:rsid w:val="0053002F"/>
    <w:rsid w:val="00530C01"/>
    <w:rsid w:val="0053297D"/>
    <w:rsid w:val="00532A67"/>
    <w:rsid w:val="005335AD"/>
    <w:rsid w:val="00533AF2"/>
    <w:rsid w:val="005340E9"/>
    <w:rsid w:val="00535733"/>
    <w:rsid w:val="0053663A"/>
    <w:rsid w:val="0053743A"/>
    <w:rsid w:val="005405DE"/>
    <w:rsid w:val="005405E1"/>
    <w:rsid w:val="005413F6"/>
    <w:rsid w:val="00541495"/>
    <w:rsid w:val="005419F2"/>
    <w:rsid w:val="0054263D"/>
    <w:rsid w:val="0054342D"/>
    <w:rsid w:val="00545309"/>
    <w:rsid w:val="005455CE"/>
    <w:rsid w:val="00546226"/>
    <w:rsid w:val="005477F2"/>
    <w:rsid w:val="005510CF"/>
    <w:rsid w:val="005529AE"/>
    <w:rsid w:val="00552BA3"/>
    <w:rsid w:val="00553A14"/>
    <w:rsid w:val="00553D93"/>
    <w:rsid w:val="0055470B"/>
    <w:rsid w:val="00555D61"/>
    <w:rsid w:val="0055760A"/>
    <w:rsid w:val="005600BE"/>
    <w:rsid w:val="00560BF3"/>
    <w:rsid w:val="005617FD"/>
    <w:rsid w:val="00561875"/>
    <w:rsid w:val="0056370F"/>
    <w:rsid w:val="00565364"/>
    <w:rsid w:val="0056562F"/>
    <w:rsid w:val="00566427"/>
    <w:rsid w:val="00571288"/>
    <w:rsid w:val="00571C46"/>
    <w:rsid w:val="00571E9C"/>
    <w:rsid w:val="00573206"/>
    <w:rsid w:val="005754DA"/>
    <w:rsid w:val="005802EB"/>
    <w:rsid w:val="005825FE"/>
    <w:rsid w:val="005829E2"/>
    <w:rsid w:val="00582ECE"/>
    <w:rsid w:val="005839AE"/>
    <w:rsid w:val="00583F1F"/>
    <w:rsid w:val="00585610"/>
    <w:rsid w:val="00585A62"/>
    <w:rsid w:val="00586430"/>
    <w:rsid w:val="0058748C"/>
    <w:rsid w:val="00590632"/>
    <w:rsid w:val="00590CFC"/>
    <w:rsid w:val="00591CA0"/>
    <w:rsid w:val="00592314"/>
    <w:rsid w:val="0059263F"/>
    <w:rsid w:val="00593353"/>
    <w:rsid w:val="00594776"/>
    <w:rsid w:val="00595250"/>
    <w:rsid w:val="00595350"/>
    <w:rsid w:val="00596F59"/>
    <w:rsid w:val="00596FC3"/>
    <w:rsid w:val="00597A0A"/>
    <w:rsid w:val="005A0F8F"/>
    <w:rsid w:val="005A3234"/>
    <w:rsid w:val="005A43FE"/>
    <w:rsid w:val="005A4E26"/>
    <w:rsid w:val="005A52A0"/>
    <w:rsid w:val="005A5E11"/>
    <w:rsid w:val="005A6953"/>
    <w:rsid w:val="005A73F2"/>
    <w:rsid w:val="005B02F6"/>
    <w:rsid w:val="005B410C"/>
    <w:rsid w:val="005B45B6"/>
    <w:rsid w:val="005B4BA3"/>
    <w:rsid w:val="005B698C"/>
    <w:rsid w:val="005C014E"/>
    <w:rsid w:val="005C02C3"/>
    <w:rsid w:val="005C07CB"/>
    <w:rsid w:val="005C247F"/>
    <w:rsid w:val="005C363D"/>
    <w:rsid w:val="005C407B"/>
    <w:rsid w:val="005C40F0"/>
    <w:rsid w:val="005C495F"/>
    <w:rsid w:val="005C49BC"/>
    <w:rsid w:val="005C5E78"/>
    <w:rsid w:val="005C705E"/>
    <w:rsid w:val="005D0740"/>
    <w:rsid w:val="005D0F4E"/>
    <w:rsid w:val="005D10B9"/>
    <w:rsid w:val="005D1E02"/>
    <w:rsid w:val="005D3E18"/>
    <w:rsid w:val="005D6A38"/>
    <w:rsid w:val="005D7EEB"/>
    <w:rsid w:val="005E00EA"/>
    <w:rsid w:val="005E0810"/>
    <w:rsid w:val="005E1E84"/>
    <w:rsid w:val="005E37C8"/>
    <w:rsid w:val="005E3F2F"/>
    <w:rsid w:val="005E3FAE"/>
    <w:rsid w:val="005E5FB5"/>
    <w:rsid w:val="005F01BE"/>
    <w:rsid w:val="005F1D51"/>
    <w:rsid w:val="005F2F5B"/>
    <w:rsid w:val="005F5109"/>
    <w:rsid w:val="005F5593"/>
    <w:rsid w:val="005F5D01"/>
    <w:rsid w:val="005F6134"/>
    <w:rsid w:val="005F633D"/>
    <w:rsid w:val="005F7611"/>
    <w:rsid w:val="005F76AC"/>
    <w:rsid w:val="00601B53"/>
    <w:rsid w:val="00601E9B"/>
    <w:rsid w:val="0060293A"/>
    <w:rsid w:val="00602ED6"/>
    <w:rsid w:val="006036B3"/>
    <w:rsid w:val="00603CF3"/>
    <w:rsid w:val="006044E4"/>
    <w:rsid w:val="006064AC"/>
    <w:rsid w:val="006068F2"/>
    <w:rsid w:val="00606DCD"/>
    <w:rsid w:val="00610840"/>
    <w:rsid w:val="00612A0F"/>
    <w:rsid w:val="00613436"/>
    <w:rsid w:val="00613A91"/>
    <w:rsid w:val="0061434F"/>
    <w:rsid w:val="006147F8"/>
    <w:rsid w:val="00614B3D"/>
    <w:rsid w:val="006156FF"/>
    <w:rsid w:val="00616DF6"/>
    <w:rsid w:val="006204E9"/>
    <w:rsid w:val="0062072F"/>
    <w:rsid w:val="006208A0"/>
    <w:rsid w:val="0062166F"/>
    <w:rsid w:val="0062263F"/>
    <w:rsid w:val="00623E32"/>
    <w:rsid w:val="00624022"/>
    <w:rsid w:val="006253B9"/>
    <w:rsid w:val="006255DA"/>
    <w:rsid w:val="0062605A"/>
    <w:rsid w:val="00627906"/>
    <w:rsid w:val="00627FFD"/>
    <w:rsid w:val="00632046"/>
    <w:rsid w:val="006325C3"/>
    <w:rsid w:val="0063347E"/>
    <w:rsid w:val="00633854"/>
    <w:rsid w:val="00634728"/>
    <w:rsid w:val="00635FB5"/>
    <w:rsid w:val="00641A42"/>
    <w:rsid w:val="006431F8"/>
    <w:rsid w:val="006436B0"/>
    <w:rsid w:val="0064385B"/>
    <w:rsid w:val="00643D14"/>
    <w:rsid w:val="00643E37"/>
    <w:rsid w:val="00645274"/>
    <w:rsid w:val="006457F9"/>
    <w:rsid w:val="00645F3C"/>
    <w:rsid w:val="006465AD"/>
    <w:rsid w:val="00646690"/>
    <w:rsid w:val="00647C3B"/>
    <w:rsid w:val="00651D63"/>
    <w:rsid w:val="00652838"/>
    <w:rsid w:val="00653A91"/>
    <w:rsid w:val="00654203"/>
    <w:rsid w:val="006549A4"/>
    <w:rsid w:val="00657217"/>
    <w:rsid w:val="00657B07"/>
    <w:rsid w:val="00657BC6"/>
    <w:rsid w:val="00661FB2"/>
    <w:rsid w:val="0066370A"/>
    <w:rsid w:val="0066452B"/>
    <w:rsid w:val="00664A8E"/>
    <w:rsid w:val="00664F05"/>
    <w:rsid w:val="00665FB6"/>
    <w:rsid w:val="00666777"/>
    <w:rsid w:val="006708D4"/>
    <w:rsid w:val="00671F6D"/>
    <w:rsid w:val="00672259"/>
    <w:rsid w:val="006743FC"/>
    <w:rsid w:val="0067587E"/>
    <w:rsid w:val="00675BA2"/>
    <w:rsid w:val="00676B69"/>
    <w:rsid w:val="006809B3"/>
    <w:rsid w:val="006810E9"/>
    <w:rsid w:val="00682F96"/>
    <w:rsid w:val="006843CD"/>
    <w:rsid w:val="00684532"/>
    <w:rsid w:val="00684E1F"/>
    <w:rsid w:val="00684F56"/>
    <w:rsid w:val="006879BA"/>
    <w:rsid w:val="006901D9"/>
    <w:rsid w:val="0069066D"/>
    <w:rsid w:val="00690E07"/>
    <w:rsid w:val="0069215A"/>
    <w:rsid w:val="00697327"/>
    <w:rsid w:val="006A019C"/>
    <w:rsid w:val="006A0496"/>
    <w:rsid w:val="006A1314"/>
    <w:rsid w:val="006A1F52"/>
    <w:rsid w:val="006A3C84"/>
    <w:rsid w:val="006A3FFC"/>
    <w:rsid w:val="006B1D0E"/>
    <w:rsid w:val="006B44E8"/>
    <w:rsid w:val="006B515D"/>
    <w:rsid w:val="006B74BD"/>
    <w:rsid w:val="006C1B89"/>
    <w:rsid w:val="006C2494"/>
    <w:rsid w:val="006C2F96"/>
    <w:rsid w:val="006C3E62"/>
    <w:rsid w:val="006C5969"/>
    <w:rsid w:val="006C6932"/>
    <w:rsid w:val="006C6ACE"/>
    <w:rsid w:val="006D1BAF"/>
    <w:rsid w:val="006D2738"/>
    <w:rsid w:val="006D3042"/>
    <w:rsid w:val="006D432A"/>
    <w:rsid w:val="006D5024"/>
    <w:rsid w:val="006D559B"/>
    <w:rsid w:val="006E08C7"/>
    <w:rsid w:val="006E21A0"/>
    <w:rsid w:val="006E2384"/>
    <w:rsid w:val="006E430F"/>
    <w:rsid w:val="006E6256"/>
    <w:rsid w:val="006E6397"/>
    <w:rsid w:val="006F06DB"/>
    <w:rsid w:val="006F0AB5"/>
    <w:rsid w:val="006F2BF4"/>
    <w:rsid w:val="006F5581"/>
    <w:rsid w:val="006F5AC2"/>
    <w:rsid w:val="006F5CC5"/>
    <w:rsid w:val="006F6037"/>
    <w:rsid w:val="006F7876"/>
    <w:rsid w:val="006F7B12"/>
    <w:rsid w:val="007036CA"/>
    <w:rsid w:val="00704C77"/>
    <w:rsid w:val="007057F9"/>
    <w:rsid w:val="007079F0"/>
    <w:rsid w:val="00710250"/>
    <w:rsid w:val="0071211A"/>
    <w:rsid w:val="0071370D"/>
    <w:rsid w:val="00713C77"/>
    <w:rsid w:val="007148E3"/>
    <w:rsid w:val="00714E3F"/>
    <w:rsid w:val="00715366"/>
    <w:rsid w:val="007158B4"/>
    <w:rsid w:val="00715EFF"/>
    <w:rsid w:val="00716C2D"/>
    <w:rsid w:val="007171F4"/>
    <w:rsid w:val="007202AE"/>
    <w:rsid w:val="00720AC4"/>
    <w:rsid w:val="00720E8D"/>
    <w:rsid w:val="00721E46"/>
    <w:rsid w:val="007237A2"/>
    <w:rsid w:val="007237E8"/>
    <w:rsid w:val="00724728"/>
    <w:rsid w:val="00724C3B"/>
    <w:rsid w:val="00724CFD"/>
    <w:rsid w:val="00724FAA"/>
    <w:rsid w:val="00725FF5"/>
    <w:rsid w:val="00730378"/>
    <w:rsid w:val="00732839"/>
    <w:rsid w:val="007348DB"/>
    <w:rsid w:val="00734EDC"/>
    <w:rsid w:val="00735E4E"/>
    <w:rsid w:val="00737386"/>
    <w:rsid w:val="00740B78"/>
    <w:rsid w:val="00742CA2"/>
    <w:rsid w:val="00743FB0"/>
    <w:rsid w:val="00744E7F"/>
    <w:rsid w:val="007464F2"/>
    <w:rsid w:val="00747135"/>
    <w:rsid w:val="007473E2"/>
    <w:rsid w:val="00750087"/>
    <w:rsid w:val="00751978"/>
    <w:rsid w:val="00751D35"/>
    <w:rsid w:val="00752138"/>
    <w:rsid w:val="00755732"/>
    <w:rsid w:val="007570B1"/>
    <w:rsid w:val="00760CBB"/>
    <w:rsid w:val="00760E55"/>
    <w:rsid w:val="0076139E"/>
    <w:rsid w:val="0076163C"/>
    <w:rsid w:val="00761A28"/>
    <w:rsid w:val="00762315"/>
    <w:rsid w:val="00762E8C"/>
    <w:rsid w:val="0076388C"/>
    <w:rsid w:val="00763EB8"/>
    <w:rsid w:val="00765BDB"/>
    <w:rsid w:val="00771240"/>
    <w:rsid w:val="007716D9"/>
    <w:rsid w:val="00774DB2"/>
    <w:rsid w:val="00776CAB"/>
    <w:rsid w:val="00780109"/>
    <w:rsid w:val="00780920"/>
    <w:rsid w:val="00781015"/>
    <w:rsid w:val="007826FF"/>
    <w:rsid w:val="00783BA0"/>
    <w:rsid w:val="00785108"/>
    <w:rsid w:val="0078722E"/>
    <w:rsid w:val="007912F2"/>
    <w:rsid w:val="0079205D"/>
    <w:rsid w:val="00793C26"/>
    <w:rsid w:val="00794178"/>
    <w:rsid w:val="007942E7"/>
    <w:rsid w:val="00794FB9"/>
    <w:rsid w:val="007951A4"/>
    <w:rsid w:val="00796D55"/>
    <w:rsid w:val="007A15AF"/>
    <w:rsid w:val="007A276C"/>
    <w:rsid w:val="007A530F"/>
    <w:rsid w:val="007A557D"/>
    <w:rsid w:val="007A61B9"/>
    <w:rsid w:val="007A65E7"/>
    <w:rsid w:val="007A7A18"/>
    <w:rsid w:val="007B0AF9"/>
    <w:rsid w:val="007B101F"/>
    <w:rsid w:val="007B1CE4"/>
    <w:rsid w:val="007B22FC"/>
    <w:rsid w:val="007B3A38"/>
    <w:rsid w:val="007B47FE"/>
    <w:rsid w:val="007B4F0C"/>
    <w:rsid w:val="007B62FE"/>
    <w:rsid w:val="007B6FFE"/>
    <w:rsid w:val="007B76C5"/>
    <w:rsid w:val="007B7A95"/>
    <w:rsid w:val="007C0035"/>
    <w:rsid w:val="007C6FFD"/>
    <w:rsid w:val="007D5A86"/>
    <w:rsid w:val="007D6C9D"/>
    <w:rsid w:val="007E180C"/>
    <w:rsid w:val="007E1B2E"/>
    <w:rsid w:val="007E2586"/>
    <w:rsid w:val="007E34ED"/>
    <w:rsid w:val="007E4201"/>
    <w:rsid w:val="007E473D"/>
    <w:rsid w:val="007F064B"/>
    <w:rsid w:val="007F0CC8"/>
    <w:rsid w:val="007F2139"/>
    <w:rsid w:val="007F416D"/>
    <w:rsid w:val="007F74C6"/>
    <w:rsid w:val="0080049A"/>
    <w:rsid w:val="008035E9"/>
    <w:rsid w:val="008038BB"/>
    <w:rsid w:val="008039DA"/>
    <w:rsid w:val="00806501"/>
    <w:rsid w:val="00810C56"/>
    <w:rsid w:val="008112E2"/>
    <w:rsid w:val="00812B14"/>
    <w:rsid w:val="00813124"/>
    <w:rsid w:val="00814CB0"/>
    <w:rsid w:val="0081636C"/>
    <w:rsid w:val="0082088D"/>
    <w:rsid w:val="00821386"/>
    <w:rsid w:val="008216DA"/>
    <w:rsid w:val="0082252B"/>
    <w:rsid w:val="00822D94"/>
    <w:rsid w:val="0082354F"/>
    <w:rsid w:val="00823D08"/>
    <w:rsid w:val="0083251A"/>
    <w:rsid w:val="00832E6A"/>
    <w:rsid w:val="00832F46"/>
    <w:rsid w:val="008355F5"/>
    <w:rsid w:val="00835CE5"/>
    <w:rsid w:val="00835FFD"/>
    <w:rsid w:val="00837279"/>
    <w:rsid w:val="008402EA"/>
    <w:rsid w:val="00842FC0"/>
    <w:rsid w:val="00843430"/>
    <w:rsid w:val="00843A20"/>
    <w:rsid w:val="008449F4"/>
    <w:rsid w:val="00845911"/>
    <w:rsid w:val="00845C3F"/>
    <w:rsid w:val="00845C77"/>
    <w:rsid w:val="00847049"/>
    <w:rsid w:val="00852236"/>
    <w:rsid w:val="00852E35"/>
    <w:rsid w:val="00853D85"/>
    <w:rsid w:val="0085518D"/>
    <w:rsid w:val="0085550D"/>
    <w:rsid w:val="00861377"/>
    <w:rsid w:val="00861846"/>
    <w:rsid w:val="00861C52"/>
    <w:rsid w:val="00862A26"/>
    <w:rsid w:val="00863C66"/>
    <w:rsid w:val="0086503C"/>
    <w:rsid w:val="00865188"/>
    <w:rsid w:val="0087006E"/>
    <w:rsid w:val="00870201"/>
    <w:rsid w:val="008731D4"/>
    <w:rsid w:val="008735C3"/>
    <w:rsid w:val="00874A51"/>
    <w:rsid w:val="00874E6C"/>
    <w:rsid w:val="00876352"/>
    <w:rsid w:val="00876B86"/>
    <w:rsid w:val="00876E9F"/>
    <w:rsid w:val="00876FD7"/>
    <w:rsid w:val="00877083"/>
    <w:rsid w:val="00877655"/>
    <w:rsid w:val="00880E53"/>
    <w:rsid w:val="00882BE9"/>
    <w:rsid w:val="00885644"/>
    <w:rsid w:val="00885A3F"/>
    <w:rsid w:val="008904B7"/>
    <w:rsid w:val="00890927"/>
    <w:rsid w:val="00892E00"/>
    <w:rsid w:val="00892F10"/>
    <w:rsid w:val="008940FF"/>
    <w:rsid w:val="00894954"/>
    <w:rsid w:val="00895744"/>
    <w:rsid w:val="00895828"/>
    <w:rsid w:val="00897C6F"/>
    <w:rsid w:val="008A035A"/>
    <w:rsid w:val="008A0B0C"/>
    <w:rsid w:val="008A1E91"/>
    <w:rsid w:val="008A39BC"/>
    <w:rsid w:val="008A3CF3"/>
    <w:rsid w:val="008A4268"/>
    <w:rsid w:val="008A6B44"/>
    <w:rsid w:val="008B061A"/>
    <w:rsid w:val="008B0B0A"/>
    <w:rsid w:val="008B0F07"/>
    <w:rsid w:val="008B0FCF"/>
    <w:rsid w:val="008B2FA1"/>
    <w:rsid w:val="008B3E30"/>
    <w:rsid w:val="008B498E"/>
    <w:rsid w:val="008B5267"/>
    <w:rsid w:val="008B5E98"/>
    <w:rsid w:val="008B60E1"/>
    <w:rsid w:val="008B6918"/>
    <w:rsid w:val="008C13D6"/>
    <w:rsid w:val="008C20FC"/>
    <w:rsid w:val="008C28FC"/>
    <w:rsid w:val="008C2C82"/>
    <w:rsid w:val="008C2C95"/>
    <w:rsid w:val="008C3835"/>
    <w:rsid w:val="008C4337"/>
    <w:rsid w:val="008C4580"/>
    <w:rsid w:val="008C4C01"/>
    <w:rsid w:val="008C683C"/>
    <w:rsid w:val="008C6B0B"/>
    <w:rsid w:val="008C75CB"/>
    <w:rsid w:val="008C7E9D"/>
    <w:rsid w:val="008D0273"/>
    <w:rsid w:val="008D0AD8"/>
    <w:rsid w:val="008D1CC8"/>
    <w:rsid w:val="008D2872"/>
    <w:rsid w:val="008D3158"/>
    <w:rsid w:val="008D3851"/>
    <w:rsid w:val="008D67CC"/>
    <w:rsid w:val="008D7313"/>
    <w:rsid w:val="008E0AEF"/>
    <w:rsid w:val="008E1CB7"/>
    <w:rsid w:val="008E25C4"/>
    <w:rsid w:val="008E30A3"/>
    <w:rsid w:val="008E4476"/>
    <w:rsid w:val="008E4E7E"/>
    <w:rsid w:val="008E5B9F"/>
    <w:rsid w:val="008E7811"/>
    <w:rsid w:val="008E78B7"/>
    <w:rsid w:val="008F213B"/>
    <w:rsid w:val="008F241B"/>
    <w:rsid w:val="008F2A37"/>
    <w:rsid w:val="008F3E4B"/>
    <w:rsid w:val="008F4598"/>
    <w:rsid w:val="008F6624"/>
    <w:rsid w:val="009018C9"/>
    <w:rsid w:val="00902849"/>
    <w:rsid w:val="00902A7D"/>
    <w:rsid w:val="00903D34"/>
    <w:rsid w:val="00910BDE"/>
    <w:rsid w:val="00910CF8"/>
    <w:rsid w:val="00914A50"/>
    <w:rsid w:val="00914FF1"/>
    <w:rsid w:val="00915381"/>
    <w:rsid w:val="00917661"/>
    <w:rsid w:val="00917F3A"/>
    <w:rsid w:val="009208F5"/>
    <w:rsid w:val="009216D7"/>
    <w:rsid w:val="00922014"/>
    <w:rsid w:val="0092541D"/>
    <w:rsid w:val="009259C8"/>
    <w:rsid w:val="00925F08"/>
    <w:rsid w:val="009357C3"/>
    <w:rsid w:val="0093669F"/>
    <w:rsid w:val="00936E98"/>
    <w:rsid w:val="00941CA8"/>
    <w:rsid w:val="00943257"/>
    <w:rsid w:val="009433EE"/>
    <w:rsid w:val="00943517"/>
    <w:rsid w:val="00943ADE"/>
    <w:rsid w:val="00943DCC"/>
    <w:rsid w:val="0094499D"/>
    <w:rsid w:val="0094577F"/>
    <w:rsid w:val="009461B6"/>
    <w:rsid w:val="00946FA3"/>
    <w:rsid w:val="00947EEF"/>
    <w:rsid w:val="00950D34"/>
    <w:rsid w:val="00952D85"/>
    <w:rsid w:val="0095376C"/>
    <w:rsid w:val="00954E70"/>
    <w:rsid w:val="00955121"/>
    <w:rsid w:val="00955ACC"/>
    <w:rsid w:val="009568EA"/>
    <w:rsid w:val="00963A21"/>
    <w:rsid w:val="00964D21"/>
    <w:rsid w:val="00966216"/>
    <w:rsid w:val="00966302"/>
    <w:rsid w:val="00967B47"/>
    <w:rsid w:val="009746A9"/>
    <w:rsid w:val="0097541B"/>
    <w:rsid w:val="00976B21"/>
    <w:rsid w:val="00980824"/>
    <w:rsid w:val="00981205"/>
    <w:rsid w:val="009835BA"/>
    <w:rsid w:val="009846BD"/>
    <w:rsid w:val="009861B4"/>
    <w:rsid w:val="00986A1C"/>
    <w:rsid w:val="00986F11"/>
    <w:rsid w:val="00991934"/>
    <w:rsid w:val="00993C9B"/>
    <w:rsid w:val="00994CA8"/>
    <w:rsid w:val="00995763"/>
    <w:rsid w:val="0099630E"/>
    <w:rsid w:val="00996B4E"/>
    <w:rsid w:val="00996F4B"/>
    <w:rsid w:val="009971F7"/>
    <w:rsid w:val="009A00B6"/>
    <w:rsid w:val="009A066B"/>
    <w:rsid w:val="009A08FD"/>
    <w:rsid w:val="009A2124"/>
    <w:rsid w:val="009A26BC"/>
    <w:rsid w:val="009A4264"/>
    <w:rsid w:val="009A430D"/>
    <w:rsid w:val="009A4E5A"/>
    <w:rsid w:val="009A5FF3"/>
    <w:rsid w:val="009A714E"/>
    <w:rsid w:val="009B083D"/>
    <w:rsid w:val="009B1E23"/>
    <w:rsid w:val="009B223B"/>
    <w:rsid w:val="009B30AB"/>
    <w:rsid w:val="009B3FF4"/>
    <w:rsid w:val="009B52D3"/>
    <w:rsid w:val="009B5C76"/>
    <w:rsid w:val="009B672F"/>
    <w:rsid w:val="009B757E"/>
    <w:rsid w:val="009C0853"/>
    <w:rsid w:val="009C0EA5"/>
    <w:rsid w:val="009C0EC5"/>
    <w:rsid w:val="009C2F90"/>
    <w:rsid w:val="009C2FF5"/>
    <w:rsid w:val="009C31F2"/>
    <w:rsid w:val="009C405A"/>
    <w:rsid w:val="009C4117"/>
    <w:rsid w:val="009C4FE2"/>
    <w:rsid w:val="009C561D"/>
    <w:rsid w:val="009C58BC"/>
    <w:rsid w:val="009C5B9A"/>
    <w:rsid w:val="009C61D9"/>
    <w:rsid w:val="009C730E"/>
    <w:rsid w:val="009C73D0"/>
    <w:rsid w:val="009D57BD"/>
    <w:rsid w:val="009D662B"/>
    <w:rsid w:val="009D6FCE"/>
    <w:rsid w:val="009E0554"/>
    <w:rsid w:val="009E0F26"/>
    <w:rsid w:val="009E1259"/>
    <w:rsid w:val="009E1CC9"/>
    <w:rsid w:val="009E4232"/>
    <w:rsid w:val="009E6652"/>
    <w:rsid w:val="009E68E6"/>
    <w:rsid w:val="009E7DA1"/>
    <w:rsid w:val="009F0569"/>
    <w:rsid w:val="009F2F43"/>
    <w:rsid w:val="009F63FD"/>
    <w:rsid w:val="009F714A"/>
    <w:rsid w:val="009F7254"/>
    <w:rsid w:val="009F7717"/>
    <w:rsid w:val="00A02735"/>
    <w:rsid w:val="00A02DAE"/>
    <w:rsid w:val="00A04A89"/>
    <w:rsid w:val="00A0792F"/>
    <w:rsid w:val="00A07A16"/>
    <w:rsid w:val="00A1081F"/>
    <w:rsid w:val="00A10EE9"/>
    <w:rsid w:val="00A1399D"/>
    <w:rsid w:val="00A17835"/>
    <w:rsid w:val="00A203E5"/>
    <w:rsid w:val="00A224F9"/>
    <w:rsid w:val="00A2381A"/>
    <w:rsid w:val="00A23F1F"/>
    <w:rsid w:val="00A24F41"/>
    <w:rsid w:val="00A25699"/>
    <w:rsid w:val="00A270DE"/>
    <w:rsid w:val="00A272D0"/>
    <w:rsid w:val="00A30B94"/>
    <w:rsid w:val="00A32327"/>
    <w:rsid w:val="00A32C64"/>
    <w:rsid w:val="00A33ACD"/>
    <w:rsid w:val="00A34696"/>
    <w:rsid w:val="00A36BEF"/>
    <w:rsid w:val="00A4079D"/>
    <w:rsid w:val="00A407A4"/>
    <w:rsid w:val="00A41146"/>
    <w:rsid w:val="00A416E0"/>
    <w:rsid w:val="00A423E8"/>
    <w:rsid w:val="00A44ACD"/>
    <w:rsid w:val="00A45BEE"/>
    <w:rsid w:val="00A45FCC"/>
    <w:rsid w:val="00A478DC"/>
    <w:rsid w:val="00A5148C"/>
    <w:rsid w:val="00A51B04"/>
    <w:rsid w:val="00A53411"/>
    <w:rsid w:val="00A53C5F"/>
    <w:rsid w:val="00A540FB"/>
    <w:rsid w:val="00A55347"/>
    <w:rsid w:val="00A554EF"/>
    <w:rsid w:val="00A5655A"/>
    <w:rsid w:val="00A57F24"/>
    <w:rsid w:val="00A6059E"/>
    <w:rsid w:val="00A6095D"/>
    <w:rsid w:val="00A60ED2"/>
    <w:rsid w:val="00A616B5"/>
    <w:rsid w:val="00A61971"/>
    <w:rsid w:val="00A62C20"/>
    <w:rsid w:val="00A63420"/>
    <w:rsid w:val="00A644A1"/>
    <w:rsid w:val="00A64BFF"/>
    <w:rsid w:val="00A66443"/>
    <w:rsid w:val="00A7023F"/>
    <w:rsid w:val="00A70FF9"/>
    <w:rsid w:val="00A71778"/>
    <w:rsid w:val="00A72071"/>
    <w:rsid w:val="00A72B70"/>
    <w:rsid w:val="00A72FFF"/>
    <w:rsid w:val="00A734D4"/>
    <w:rsid w:val="00A74DEB"/>
    <w:rsid w:val="00A76AAD"/>
    <w:rsid w:val="00A7731C"/>
    <w:rsid w:val="00A775F9"/>
    <w:rsid w:val="00A81A48"/>
    <w:rsid w:val="00A81BFA"/>
    <w:rsid w:val="00A82697"/>
    <w:rsid w:val="00A82AE8"/>
    <w:rsid w:val="00A82F14"/>
    <w:rsid w:val="00A82F4D"/>
    <w:rsid w:val="00A8307E"/>
    <w:rsid w:val="00A8432A"/>
    <w:rsid w:val="00A84A09"/>
    <w:rsid w:val="00A85402"/>
    <w:rsid w:val="00A85C05"/>
    <w:rsid w:val="00A85FCC"/>
    <w:rsid w:val="00A911E1"/>
    <w:rsid w:val="00A91AD7"/>
    <w:rsid w:val="00A9240E"/>
    <w:rsid w:val="00A92654"/>
    <w:rsid w:val="00A9465C"/>
    <w:rsid w:val="00A95CCB"/>
    <w:rsid w:val="00A96AC3"/>
    <w:rsid w:val="00A9783D"/>
    <w:rsid w:val="00AA0FC0"/>
    <w:rsid w:val="00AA15C9"/>
    <w:rsid w:val="00AA2AF4"/>
    <w:rsid w:val="00AA3CA0"/>
    <w:rsid w:val="00AA4068"/>
    <w:rsid w:val="00AA4AA6"/>
    <w:rsid w:val="00AA5D39"/>
    <w:rsid w:val="00AA6F7C"/>
    <w:rsid w:val="00AA7981"/>
    <w:rsid w:val="00AB0743"/>
    <w:rsid w:val="00AB0F49"/>
    <w:rsid w:val="00AB2B2B"/>
    <w:rsid w:val="00AB2FDC"/>
    <w:rsid w:val="00AB3A78"/>
    <w:rsid w:val="00AB3B0B"/>
    <w:rsid w:val="00AB3DCA"/>
    <w:rsid w:val="00AB52F6"/>
    <w:rsid w:val="00AB54BA"/>
    <w:rsid w:val="00AB5952"/>
    <w:rsid w:val="00AB5B15"/>
    <w:rsid w:val="00AB68AF"/>
    <w:rsid w:val="00AC0DC5"/>
    <w:rsid w:val="00AC0FCF"/>
    <w:rsid w:val="00AC25EE"/>
    <w:rsid w:val="00AC5816"/>
    <w:rsid w:val="00AC6729"/>
    <w:rsid w:val="00AC7104"/>
    <w:rsid w:val="00AC7BF1"/>
    <w:rsid w:val="00AD0AAA"/>
    <w:rsid w:val="00AD119E"/>
    <w:rsid w:val="00AD13A7"/>
    <w:rsid w:val="00AD1571"/>
    <w:rsid w:val="00AD1B26"/>
    <w:rsid w:val="00AD3351"/>
    <w:rsid w:val="00AD3A96"/>
    <w:rsid w:val="00AD3D4C"/>
    <w:rsid w:val="00AD48C4"/>
    <w:rsid w:val="00AD602B"/>
    <w:rsid w:val="00AD622B"/>
    <w:rsid w:val="00AE086A"/>
    <w:rsid w:val="00AE5102"/>
    <w:rsid w:val="00AE648E"/>
    <w:rsid w:val="00AE730E"/>
    <w:rsid w:val="00AF05AB"/>
    <w:rsid w:val="00AF3AD5"/>
    <w:rsid w:val="00AF5A60"/>
    <w:rsid w:val="00AF605C"/>
    <w:rsid w:val="00AF70DB"/>
    <w:rsid w:val="00AF7629"/>
    <w:rsid w:val="00B01752"/>
    <w:rsid w:val="00B0176A"/>
    <w:rsid w:val="00B02723"/>
    <w:rsid w:val="00B02BDF"/>
    <w:rsid w:val="00B03F21"/>
    <w:rsid w:val="00B07FAB"/>
    <w:rsid w:val="00B11543"/>
    <w:rsid w:val="00B11E74"/>
    <w:rsid w:val="00B1255C"/>
    <w:rsid w:val="00B147B3"/>
    <w:rsid w:val="00B160E6"/>
    <w:rsid w:val="00B16733"/>
    <w:rsid w:val="00B16FEF"/>
    <w:rsid w:val="00B174B8"/>
    <w:rsid w:val="00B17F42"/>
    <w:rsid w:val="00B211BF"/>
    <w:rsid w:val="00B2137D"/>
    <w:rsid w:val="00B2345C"/>
    <w:rsid w:val="00B24CE2"/>
    <w:rsid w:val="00B270B7"/>
    <w:rsid w:val="00B27B80"/>
    <w:rsid w:val="00B27EB4"/>
    <w:rsid w:val="00B30A37"/>
    <w:rsid w:val="00B32868"/>
    <w:rsid w:val="00B328FB"/>
    <w:rsid w:val="00B333A5"/>
    <w:rsid w:val="00B34235"/>
    <w:rsid w:val="00B34810"/>
    <w:rsid w:val="00B3491D"/>
    <w:rsid w:val="00B35E16"/>
    <w:rsid w:val="00B361F3"/>
    <w:rsid w:val="00B363D7"/>
    <w:rsid w:val="00B37B98"/>
    <w:rsid w:val="00B4026E"/>
    <w:rsid w:val="00B41B12"/>
    <w:rsid w:val="00B46FEA"/>
    <w:rsid w:val="00B47D66"/>
    <w:rsid w:val="00B50375"/>
    <w:rsid w:val="00B5076A"/>
    <w:rsid w:val="00B525E5"/>
    <w:rsid w:val="00B552C5"/>
    <w:rsid w:val="00B55494"/>
    <w:rsid w:val="00B56AE3"/>
    <w:rsid w:val="00B618A9"/>
    <w:rsid w:val="00B6281F"/>
    <w:rsid w:val="00B629FF"/>
    <w:rsid w:val="00B62A95"/>
    <w:rsid w:val="00B64E85"/>
    <w:rsid w:val="00B65D77"/>
    <w:rsid w:val="00B66E39"/>
    <w:rsid w:val="00B6765E"/>
    <w:rsid w:val="00B7102A"/>
    <w:rsid w:val="00B714E3"/>
    <w:rsid w:val="00B716AD"/>
    <w:rsid w:val="00B75EFD"/>
    <w:rsid w:val="00B769C9"/>
    <w:rsid w:val="00B76E31"/>
    <w:rsid w:val="00B80011"/>
    <w:rsid w:val="00B80345"/>
    <w:rsid w:val="00B8060C"/>
    <w:rsid w:val="00B80A0D"/>
    <w:rsid w:val="00B81C8D"/>
    <w:rsid w:val="00B838CA"/>
    <w:rsid w:val="00B84479"/>
    <w:rsid w:val="00B84A45"/>
    <w:rsid w:val="00B85BBB"/>
    <w:rsid w:val="00B916BE"/>
    <w:rsid w:val="00B92BD8"/>
    <w:rsid w:val="00B95976"/>
    <w:rsid w:val="00B9679F"/>
    <w:rsid w:val="00B97328"/>
    <w:rsid w:val="00BA0EDE"/>
    <w:rsid w:val="00BA1922"/>
    <w:rsid w:val="00BA20E7"/>
    <w:rsid w:val="00BA3320"/>
    <w:rsid w:val="00BA3E99"/>
    <w:rsid w:val="00BA53A9"/>
    <w:rsid w:val="00BA54AB"/>
    <w:rsid w:val="00BA5B4C"/>
    <w:rsid w:val="00BA5C18"/>
    <w:rsid w:val="00BA68D0"/>
    <w:rsid w:val="00BA6EBD"/>
    <w:rsid w:val="00BA7BE8"/>
    <w:rsid w:val="00BB23B6"/>
    <w:rsid w:val="00BB2F67"/>
    <w:rsid w:val="00BB53CD"/>
    <w:rsid w:val="00BB56BA"/>
    <w:rsid w:val="00BC046F"/>
    <w:rsid w:val="00BC0C09"/>
    <w:rsid w:val="00BC199C"/>
    <w:rsid w:val="00BC2912"/>
    <w:rsid w:val="00BC4636"/>
    <w:rsid w:val="00BC4AD6"/>
    <w:rsid w:val="00BC7821"/>
    <w:rsid w:val="00BD026C"/>
    <w:rsid w:val="00BD101A"/>
    <w:rsid w:val="00BD16AF"/>
    <w:rsid w:val="00BD2439"/>
    <w:rsid w:val="00BD424F"/>
    <w:rsid w:val="00BD68EF"/>
    <w:rsid w:val="00BD68F3"/>
    <w:rsid w:val="00BD6A36"/>
    <w:rsid w:val="00BD78E5"/>
    <w:rsid w:val="00BE01AB"/>
    <w:rsid w:val="00BE20C9"/>
    <w:rsid w:val="00BE4D2A"/>
    <w:rsid w:val="00BE623D"/>
    <w:rsid w:val="00BF05C0"/>
    <w:rsid w:val="00BF3407"/>
    <w:rsid w:val="00BF36AD"/>
    <w:rsid w:val="00BF4008"/>
    <w:rsid w:val="00BF5E2C"/>
    <w:rsid w:val="00BF62B0"/>
    <w:rsid w:val="00BF653F"/>
    <w:rsid w:val="00BF6CA5"/>
    <w:rsid w:val="00BF7910"/>
    <w:rsid w:val="00C0065A"/>
    <w:rsid w:val="00C00870"/>
    <w:rsid w:val="00C02D51"/>
    <w:rsid w:val="00C0372F"/>
    <w:rsid w:val="00C04411"/>
    <w:rsid w:val="00C047A4"/>
    <w:rsid w:val="00C04BC0"/>
    <w:rsid w:val="00C06CDD"/>
    <w:rsid w:val="00C06D7F"/>
    <w:rsid w:val="00C10DA1"/>
    <w:rsid w:val="00C11899"/>
    <w:rsid w:val="00C12D11"/>
    <w:rsid w:val="00C13953"/>
    <w:rsid w:val="00C13FE7"/>
    <w:rsid w:val="00C14CF3"/>
    <w:rsid w:val="00C14D6E"/>
    <w:rsid w:val="00C15BED"/>
    <w:rsid w:val="00C15F41"/>
    <w:rsid w:val="00C167FE"/>
    <w:rsid w:val="00C222B0"/>
    <w:rsid w:val="00C22F4F"/>
    <w:rsid w:val="00C24279"/>
    <w:rsid w:val="00C247D5"/>
    <w:rsid w:val="00C24B5F"/>
    <w:rsid w:val="00C24B7E"/>
    <w:rsid w:val="00C25A9C"/>
    <w:rsid w:val="00C26756"/>
    <w:rsid w:val="00C2697A"/>
    <w:rsid w:val="00C3053E"/>
    <w:rsid w:val="00C30A11"/>
    <w:rsid w:val="00C325B9"/>
    <w:rsid w:val="00C32CBA"/>
    <w:rsid w:val="00C32F2E"/>
    <w:rsid w:val="00C348AB"/>
    <w:rsid w:val="00C353E2"/>
    <w:rsid w:val="00C369DA"/>
    <w:rsid w:val="00C40590"/>
    <w:rsid w:val="00C4092B"/>
    <w:rsid w:val="00C40B64"/>
    <w:rsid w:val="00C40E50"/>
    <w:rsid w:val="00C4192E"/>
    <w:rsid w:val="00C42B2F"/>
    <w:rsid w:val="00C430F9"/>
    <w:rsid w:val="00C44C64"/>
    <w:rsid w:val="00C44D25"/>
    <w:rsid w:val="00C457F8"/>
    <w:rsid w:val="00C45D97"/>
    <w:rsid w:val="00C506BA"/>
    <w:rsid w:val="00C54843"/>
    <w:rsid w:val="00C55A8A"/>
    <w:rsid w:val="00C57E17"/>
    <w:rsid w:val="00C61B24"/>
    <w:rsid w:val="00C62155"/>
    <w:rsid w:val="00C62156"/>
    <w:rsid w:val="00C62B05"/>
    <w:rsid w:val="00C634E7"/>
    <w:rsid w:val="00C63709"/>
    <w:rsid w:val="00C64C4E"/>
    <w:rsid w:val="00C65163"/>
    <w:rsid w:val="00C66DE4"/>
    <w:rsid w:val="00C67D80"/>
    <w:rsid w:val="00C67F66"/>
    <w:rsid w:val="00C712C7"/>
    <w:rsid w:val="00C71DC9"/>
    <w:rsid w:val="00C71EA3"/>
    <w:rsid w:val="00C72759"/>
    <w:rsid w:val="00C72A99"/>
    <w:rsid w:val="00C72B84"/>
    <w:rsid w:val="00C72E25"/>
    <w:rsid w:val="00C73138"/>
    <w:rsid w:val="00C74426"/>
    <w:rsid w:val="00C75C9E"/>
    <w:rsid w:val="00C76294"/>
    <w:rsid w:val="00C818E0"/>
    <w:rsid w:val="00C82FD4"/>
    <w:rsid w:val="00C830F5"/>
    <w:rsid w:val="00C832FC"/>
    <w:rsid w:val="00C838A8"/>
    <w:rsid w:val="00C83EA1"/>
    <w:rsid w:val="00C83F98"/>
    <w:rsid w:val="00C87015"/>
    <w:rsid w:val="00C92D74"/>
    <w:rsid w:val="00C93256"/>
    <w:rsid w:val="00C93768"/>
    <w:rsid w:val="00C947C4"/>
    <w:rsid w:val="00C96D20"/>
    <w:rsid w:val="00C975C2"/>
    <w:rsid w:val="00C97D67"/>
    <w:rsid w:val="00CA08BD"/>
    <w:rsid w:val="00CA1561"/>
    <w:rsid w:val="00CA1F3F"/>
    <w:rsid w:val="00CA2495"/>
    <w:rsid w:val="00CA3096"/>
    <w:rsid w:val="00CA3794"/>
    <w:rsid w:val="00CA4E62"/>
    <w:rsid w:val="00CA5E7F"/>
    <w:rsid w:val="00CA6D69"/>
    <w:rsid w:val="00CB052A"/>
    <w:rsid w:val="00CB09DB"/>
    <w:rsid w:val="00CB216F"/>
    <w:rsid w:val="00CB2699"/>
    <w:rsid w:val="00CB42E8"/>
    <w:rsid w:val="00CB4385"/>
    <w:rsid w:val="00CB6198"/>
    <w:rsid w:val="00CB6D20"/>
    <w:rsid w:val="00CC0DEA"/>
    <w:rsid w:val="00CC0F69"/>
    <w:rsid w:val="00CC20D9"/>
    <w:rsid w:val="00CC5F28"/>
    <w:rsid w:val="00CC63F3"/>
    <w:rsid w:val="00CC6B66"/>
    <w:rsid w:val="00CC7453"/>
    <w:rsid w:val="00CC7CD6"/>
    <w:rsid w:val="00CC7F8A"/>
    <w:rsid w:val="00CD0E0F"/>
    <w:rsid w:val="00CD1C08"/>
    <w:rsid w:val="00CD3925"/>
    <w:rsid w:val="00CD64AA"/>
    <w:rsid w:val="00CD6A1A"/>
    <w:rsid w:val="00CD7506"/>
    <w:rsid w:val="00CE2E46"/>
    <w:rsid w:val="00CE3148"/>
    <w:rsid w:val="00CE335E"/>
    <w:rsid w:val="00CE5092"/>
    <w:rsid w:val="00CE5724"/>
    <w:rsid w:val="00CE5899"/>
    <w:rsid w:val="00CE7B92"/>
    <w:rsid w:val="00CE7BB5"/>
    <w:rsid w:val="00CF0DFA"/>
    <w:rsid w:val="00CF1AA6"/>
    <w:rsid w:val="00CF2022"/>
    <w:rsid w:val="00CF3D42"/>
    <w:rsid w:val="00CF402F"/>
    <w:rsid w:val="00CF5C56"/>
    <w:rsid w:val="00CF5FEC"/>
    <w:rsid w:val="00CF752B"/>
    <w:rsid w:val="00D00317"/>
    <w:rsid w:val="00D00893"/>
    <w:rsid w:val="00D01BC1"/>
    <w:rsid w:val="00D02995"/>
    <w:rsid w:val="00D02C4F"/>
    <w:rsid w:val="00D031E0"/>
    <w:rsid w:val="00D04732"/>
    <w:rsid w:val="00D048DF"/>
    <w:rsid w:val="00D07263"/>
    <w:rsid w:val="00D11044"/>
    <w:rsid w:val="00D111A3"/>
    <w:rsid w:val="00D15858"/>
    <w:rsid w:val="00D233D6"/>
    <w:rsid w:val="00D26140"/>
    <w:rsid w:val="00D26DFB"/>
    <w:rsid w:val="00D3056E"/>
    <w:rsid w:val="00D347B5"/>
    <w:rsid w:val="00D358C6"/>
    <w:rsid w:val="00D359E3"/>
    <w:rsid w:val="00D36656"/>
    <w:rsid w:val="00D367E1"/>
    <w:rsid w:val="00D37013"/>
    <w:rsid w:val="00D4098A"/>
    <w:rsid w:val="00D41417"/>
    <w:rsid w:val="00D42120"/>
    <w:rsid w:val="00D439CA"/>
    <w:rsid w:val="00D4446C"/>
    <w:rsid w:val="00D44481"/>
    <w:rsid w:val="00D44A49"/>
    <w:rsid w:val="00D50898"/>
    <w:rsid w:val="00D509D9"/>
    <w:rsid w:val="00D50E30"/>
    <w:rsid w:val="00D51467"/>
    <w:rsid w:val="00D51EC6"/>
    <w:rsid w:val="00D531EB"/>
    <w:rsid w:val="00D541E5"/>
    <w:rsid w:val="00D555FC"/>
    <w:rsid w:val="00D55D6E"/>
    <w:rsid w:val="00D5600E"/>
    <w:rsid w:val="00D57399"/>
    <w:rsid w:val="00D60F78"/>
    <w:rsid w:val="00D61C65"/>
    <w:rsid w:val="00D640AF"/>
    <w:rsid w:val="00D6479C"/>
    <w:rsid w:val="00D649BB"/>
    <w:rsid w:val="00D66914"/>
    <w:rsid w:val="00D66BB9"/>
    <w:rsid w:val="00D67D95"/>
    <w:rsid w:val="00D67F6B"/>
    <w:rsid w:val="00D726A3"/>
    <w:rsid w:val="00D73116"/>
    <w:rsid w:val="00D73643"/>
    <w:rsid w:val="00D74BD2"/>
    <w:rsid w:val="00D74CBE"/>
    <w:rsid w:val="00D77271"/>
    <w:rsid w:val="00D77940"/>
    <w:rsid w:val="00D8016B"/>
    <w:rsid w:val="00D80A8F"/>
    <w:rsid w:val="00D81114"/>
    <w:rsid w:val="00D81ADF"/>
    <w:rsid w:val="00D83D08"/>
    <w:rsid w:val="00D846E8"/>
    <w:rsid w:val="00D85155"/>
    <w:rsid w:val="00D854C3"/>
    <w:rsid w:val="00D85891"/>
    <w:rsid w:val="00D85EFF"/>
    <w:rsid w:val="00D863B2"/>
    <w:rsid w:val="00D867C5"/>
    <w:rsid w:val="00D91680"/>
    <w:rsid w:val="00D91C8D"/>
    <w:rsid w:val="00D91E9D"/>
    <w:rsid w:val="00D920A8"/>
    <w:rsid w:val="00D92244"/>
    <w:rsid w:val="00D94090"/>
    <w:rsid w:val="00D94D02"/>
    <w:rsid w:val="00D94D74"/>
    <w:rsid w:val="00DA0D4B"/>
    <w:rsid w:val="00DA27A1"/>
    <w:rsid w:val="00DA2E52"/>
    <w:rsid w:val="00DA406D"/>
    <w:rsid w:val="00DA4942"/>
    <w:rsid w:val="00DA521C"/>
    <w:rsid w:val="00DB0EF4"/>
    <w:rsid w:val="00DB2975"/>
    <w:rsid w:val="00DB2F89"/>
    <w:rsid w:val="00DB40DB"/>
    <w:rsid w:val="00DB48C3"/>
    <w:rsid w:val="00DB6040"/>
    <w:rsid w:val="00DB6599"/>
    <w:rsid w:val="00DB7E2E"/>
    <w:rsid w:val="00DC1A0C"/>
    <w:rsid w:val="00DC319A"/>
    <w:rsid w:val="00DC32CC"/>
    <w:rsid w:val="00DC50E2"/>
    <w:rsid w:val="00DC6D59"/>
    <w:rsid w:val="00DC732C"/>
    <w:rsid w:val="00DD06E9"/>
    <w:rsid w:val="00DD360A"/>
    <w:rsid w:val="00DD39A8"/>
    <w:rsid w:val="00DD4537"/>
    <w:rsid w:val="00DD497F"/>
    <w:rsid w:val="00DD4EF0"/>
    <w:rsid w:val="00DD6103"/>
    <w:rsid w:val="00DD64A9"/>
    <w:rsid w:val="00DD6724"/>
    <w:rsid w:val="00DD76C1"/>
    <w:rsid w:val="00DE1250"/>
    <w:rsid w:val="00DE136E"/>
    <w:rsid w:val="00DE25F1"/>
    <w:rsid w:val="00DE2ACD"/>
    <w:rsid w:val="00DE3E3D"/>
    <w:rsid w:val="00DE4BC8"/>
    <w:rsid w:val="00DE5321"/>
    <w:rsid w:val="00DE5E6C"/>
    <w:rsid w:val="00DE7342"/>
    <w:rsid w:val="00DE7CDF"/>
    <w:rsid w:val="00DF101E"/>
    <w:rsid w:val="00DF4206"/>
    <w:rsid w:val="00DF692F"/>
    <w:rsid w:val="00DF79BF"/>
    <w:rsid w:val="00E042B9"/>
    <w:rsid w:val="00E05432"/>
    <w:rsid w:val="00E0629F"/>
    <w:rsid w:val="00E0794E"/>
    <w:rsid w:val="00E10901"/>
    <w:rsid w:val="00E10D36"/>
    <w:rsid w:val="00E10EE2"/>
    <w:rsid w:val="00E1110A"/>
    <w:rsid w:val="00E13270"/>
    <w:rsid w:val="00E136A7"/>
    <w:rsid w:val="00E14F34"/>
    <w:rsid w:val="00E15A92"/>
    <w:rsid w:val="00E1634C"/>
    <w:rsid w:val="00E16453"/>
    <w:rsid w:val="00E1649C"/>
    <w:rsid w:val="00E1698A"/>
    <w:rsid w:val="00E17B2F"/>
    <w:rsid w:val="00E21AE9"/>
    <w:rsid w:val="00E23DAC"/>
    <w:rsid w:val="00E23E69"/>
    <w:rsid w:val="00E2420B"/>
    <w:rsid w:val="00E24787"/>
    <w:rsid w:val="00E256EE"/>
    <w:rsid w:val="00E25BD2"/>
    <w:rsid w:val="00E30A0F"/>
    <w:rsid w:val="00E310B5"/>
    <w:rsid w:val="00E31FC9"/>
    <w:rsid w:val="00E32652"/>
    <w:rsid w:val="00E32972"/>
    <w:rsid w:val="00E3381B"/>
    <w:rsid w:val="00E33AA2"/>
    <w:rsid w:val="00E34972"/>
    <w:rsid w:val="00E37423"/>
    <w:rsid w:val="00E37C95"/>
    <w:rsid w:val="00E41CD6"/>
    <w:rsid w:val="00E42BA5"/>
    <w:rsid w:val="00E44F3D"/>
    <w:rsid w:val="00E4674B"/>
    <w:rsid w:val="00E47405"/>
    <w:rsid w:val="00E510FA"/>
    <w:rsid w:val="00E51406"/>
    <w:rsid w:val="00E51B83"/>
    <w:rsid w:val="00E532BA"/>
    <w:rsid w:val="00E53460"/>
    <w:rsid w:val="00E53701"/>
    <w:rsid w:val="00E544DF"/>
    <w:rsid w:val="00E5688A"/>
    <w:rsid w:val="00E56AEE"/>
    <w:rsid w:val="00E56CB2"/>
    <w:rsid w:val="00E56F44"/>
    <w:rsid w:val="00E576BB"/>
    <w:rsid w:val="00E579DE"/>
    <w:rsid w:val="00E60612"/>
    <w:rsid w:val="00E612CC"/>
    <w:rsid w:val="00E62290"/>
    <w:rsid w:val="00E63367"/>
    <w:rsid w:val="00E648DC"/>
    <w:rsid w:val="00E71550"/>
    <w:rsid w:val="00E71637"/>
    <w:rsid w:val="00E716B2"/>
    <w:rsid w:val="00E71F1A"/>
    <w:rsid w:val="00E72530"/>
    <w:rsid w:val="00E72918"/>
    <w:rsid w:val="00E72FD3"/>
    <w:rsid w:val="00E7339D"/>
    <w:rsid w:val="00E73C49"/>
    <w:rsid w:val="00E7488A"/>
    <w:rsid w:val="00E74C94"/>
    <w:rsid w:val="00E77D21"/>
    <w:rsid w:val="00E77ED9"/>
    <w:rsid w:val="00E806E9"/>
    <w:rsid w:val="00E81B4B"/>
    <w:rsid w:val="00E81D3A"/>
    <w:rsid w:val="00E82B84"/>
    <w:rsid w:val="00E83B74"/>
    <w:rsid w:val="00E84934"/>
    <w:rsid w:val="00E86C7E"/>
    <w:rsid w:val="00E86D75"/>
    <w:rsid w:val="00E90076"/>
    <w:rsid w:val="00E9239A"/>
    <w:rsid w:val="00E92A41"/>
    <w:rsid w:val="00E93B68"/>
    <w:rsid w:val="00E9485E"/>
    <w:rsid w:val="00E961BD"/>
    <w:rsid w:val="00E96996"/>
    <w:rsid w:val="00EA01DE"/>
    <w:rsid w:val="00EA10D2"/>
    <w:rsid w:val="00EA3820"/>
    <w:rsid w:val="00EA44BF"/>
    <w:rsid w:val="00EA51F2"/>
    <w:rsid w:val="00EA54DA"/>
    <w:rsid w:val="00EA5E06"/>
    <w:rsid w:val="00EA6ED5"/>
    <w:rsid w:val="00EA755D"/>
    <w:rsid w:val="00EA7FEB"/>
    <w:rsid w:val="00EB2ABC"/>
    <w:rsid w:val="00EB324A"/>
    <w:rsid w:val="00EB33CE"/>
    <w:rsid w:val="00EB4556"/>
    <w:rsid w:val="00EB5956"/>
    <w:rsid w:val="00EB5C68"/>
    <w:rsid w:val="00EB6337"/>
    <w:rsid w:val="00EB7031"/>
    <w:rsid w:val="00EC1061"/>
    <w:rsid w:val="00EC1B0B"/>
    <w:rsid w:val="00EC20FB"/>
    <w:rsid w:val="00EC2853"/>
    <w:rsid w:val="00EC31DE"/>
    <w:rsid w:val="00EC3F1F"/>
    <w:rsid w:val="00EC46CE"/>
    <w:rsid w:val="00EC5352"/>
    <w:rsid w:val="00ED01AA"/>
    <w:rsid w:val="00ED01D2"/>
    <w:rsid w:val="00ED0858"/>
    <w:rsid w:val="00ED16D9"/>
    <w:rsid w:val="00ED1CE5"/>
    <w:rsid w:val="00ED2592"/>
    <w:rsid w:val="00ED3121"/>
    <w:rsid w:val="00ED3D34"/>
    <w:rsid w:val="00ED461E"/>
    <w:rsid w:val="00ED5AEA"/>
    <w:rsid w:val="00ED6544"/>
    <w:rsid w:val="00ED73CD"/>
    <w:rsid w:val="00EE05AE"/>
    <w:rsid w:val="00EE1C66"/>
    <w:rsid w:val="00EE1D81"/>
    <w:rsid w:val="00EE261D"/>
    <w:rsid w:val="00EE30F2"/>
    <w:rsid w:val="00EE30FA"/>
    <w:rsid w:val="00EE36A7"/>
    <w:rsid w:val="00EE3902"/>
    <w:rsid w:val="00EE3CE9"/>
    <w:rsid w:val="00EE4548"/>
    <w:rsid w:val="00EE48D5"/>
    <w:rsid w:val="00EE5127"/>
    <w:rsid w:val="00EE5A7E"/>
    <w:rsid w:val="00EF21CB"/>
    <w:rsid w:val="00EF3B1A"/>
    <w:rsid w:val="00EF4F25"/>
    <w:rsid w:val="00EF52B0"/>
    <w:rsid w:val="00EF5300"/>
    <w:rsid w:val="00EF5B2E"/>
    <w:rsid w:val="00EF6F49"/>
    <w:rsid w:val="00EF74D1"/>
    <w:rsid w:val="00EF7E61"/>
    <w:rsid w:val="00F028FD"/>
    <w:rsid w:val="00F0361C"/>
    <w:rsid w:val="00F03CF0"/>
    <w:rsid w:val="00F056EF"/>
    <w:rsid w:val="00F0608B"/>
    <w:rsid w:val="00F07083"/>
    <w:rsid w:val="00F07AB4"/>
    <w:rsid w:val="00F07E23"/>
    <w:rsid w:val="00F1073E"/>
    <w:rsid w:val="00F1126E"/>
    <w:rsid w:val="00F11FA3"/>
    <w:rsid w:val="00F127D4"/>
    <w:rsid w:val="00F13205"/>
    <w:rsid w:val="00F13905"/>
    <w:rsid w:val="00F14872"/>
    <w:rsid w:val="00F1501C"/>
    <w:rsid w:val="00F17F4A"/>
    <w:rsid w:val="00F219BD"/>
    <w:rsid w:val="00F23F1C"/>
    <w:rsid w:val="00F2408E"/>
    <w:rsid w:val="00F24632"/>
    <w:rsid w:val="00F26ADE"/>
    <w:rsid w:val="00F272B9"/>
    <w:rsid w:val="00F27F16"/>
    <w:rsid w:val="00F30A0C"/>
    <w:rsid w:val="00F31395"/>
    <w:rsid w:val="00F34C61"/>
    <w:rsid w:val="00F3682F"/>
    <w:rsid w:val="00F36BCF"/>
    <w:rsid w:val="00F3737B"/>
    <w:rsid w:val="00F37470"/>
    <w:rsid w:val="00F412EA"/>
    <w:rsid w:val="00F41E2D"/>
    <w:rsid w:val="00F4215F"/>
    <w:rsid w:val="00F42214"/>
    <w:rsid w:val="00F4302B"/>
    <w:rsid w:val="00F4708D"/>
    <w:rsid w:val="00F473AC"/>
    <w:rsid w:val="00F515C5"/>
    <w:rsid w:val="00F535E4"/>
    <w:rsid w:val="00F54B9E"/>
    <w:rsid w:val="00F56C24"/>
    <w:rsid w:val="00F56F40"/>
    <w:rsid w:val="00F60814"/>
    <w:rsid w:val="00F60CEB"/>
    <w:rsid w:val="00F63B28"/>
    <w:rsid w:val="00F63CAD"/>
    <w:rsid w:val="00F65D2B"/>
    <w:rsid w:val="00F7114F"/>
    <w:rsid w:val="00F73091"/>
    <w:rsid w:val="00F740E3"/>
    <w:rsid w:val="00F7432D"/>
    <w:rsid w:val="00F77BB1"/>
    <w:rsid w:val="00F77D00"/>
    <w:rsid w:val="00F813B4"/>
    <w:rsid w:val="00F81747"/>
    <w:rsid w:val="00F8192D"/>
    <w:rsid w:val="00F8263E"/>
    <w:rsid w:val="00F826D3"/>
    <w:rsid w:val="00F82D57"/>
    <w:rsid w:val="00F836A7"/>
    <w:rsid w:val="00F8488E"/>
    <w:rsid w:val="00F84AF7"/>
    <w:rsid w:val="00F8521B"/>
    <w:rsid w:val="00F85287"/>
    <w:rsid w:val="00F85FB4"/>
    <w:rsid w:val="00F868C7"/>
    <w:rsid w:val="00F87794"/>
    <w:rsid w:val="00F87BB2"/>
    <w:rsid w:val="00F87D54"/>
    <w:rsid w:val="00F902A7"/>
    <w:rsid w:val="00F9153B"/>
    <w:rsid w:val="00F917A1"/>
    <w:rsid w:val="00F91E7D"/>
    <w:rsid w:val="00F9323E"/>
    <w:rsid w:val="00F9349C"/>
    <w:rsid w:val="00F960A1"/>
    <w:rsid w:val="00F96E25"/>
    <w:rsid w:val="00F97711"/>
    <w:rsid w:val="00F97977"/>
    <w:rsid w:val="00F97D06"/>
    <w:rsid w:val="00FA250E"/>
    <w:rsid w:val="00FA4D96"/>
    <w:rsid w:val="00FA65EB"/>
    <w:rsid w:val="00FA6B0B"/>
    <w:rsid w:val="00FA750B"/>
    <w:rsid w:val="00FA7DE3"/>
    <w:rsid w:val="00FB601D"/>
    <w:rsid w:val="00FB648C"/>
    <w:rsid w:val="00FB77AC"/>
    <w:rsid w:val="00FB7A11"/>
    <w:rsid w:val="00FC59E7"/>
    <w:rsid w:val="00FC60FF"/>
    <w:rsid w:val="00FC6338"/>
    <w:rsid w:val="00FC671D"/>
    <w:rsid w:val="00FC67DF"/>
    <w:rsid w:val="00FC74DC"/>
    <w:rsid w:val="00FC796B"/>
    <w:rsid w:val="00FD0C0C"/>
    <w:rsid w:val="00FD11D2"/>
    <w:rsid w:val="00FD19CE"/>
    <w:rsid w:val="00FD26EA"/>
    <w:rsid w:val="00FD4DB8"/>
    <w:rsid w:val="00FD5464"/>
    <w:rsid w:val="00FD742B"/>
    <w:rsid w:val="00FE0E20"/>
    <w:rsid w:val="00FE1730"/>
    <w:rsid w:val="00FE4D17"/>
    <w:rsid w:val="00FE6620"/>
    <w:rsid w:val="00FE718C"/>
    <w:rsid w:val="00FE76BE"/>
    <w:rsid w:val="00FF066F"/>
    <w:rsid w:val="00FF2F60"/>
    <w:rsid w:val="00FF342E"/>
    <w:rsid w:val="00FF40EF"/>
    <w:rsid w:val="00FF4A26"/>
    <w:rsid w:val="00FF5D44"/>
    <w:rsid w:val="00FF639F"/>
    <w:rsid w:val="00FF7141"/>
    <w:rsid w:val="00FF7C92"/>
    <w:rsid w:val="01343594"/>
    <w:rsid w:val="016C5546"/>
    <w:rsid w:val="01C3776E"/>
    <w:rsid w:val="0248AA87"/>
    <w:rsid w:val="038148E3"/>
    <w:rsid w:val="03C6AEBD"/>
    <w:rsid w:val="040AB28A"/>
    <w:rsid w:val="04BD39E6"/>
    <w:rsid w:val="04D3F470"/>
    <w:rsid w:val="05578EF3"/>
    <w:rsid w:val="05A016E5"/>
    <w:rsid w:val="0658406E"/>
    <w:rsid w:val="06792AB4"/>
    <w:rsid w:val="069BE0BF"/>
    <w:rsid w:val="06EBAD04"/>
    <w:rsid w:val="07896209"/>
    <w:rsid w:val="08A86C09"/>
    <w:rsid w:val="0963DB31"/>
    <w:rsid w:val="09856992"/>
    <w:rsid w:val="09925211"/>
    <w:rsid w:val="0A044841"/>
    <w:rsid w:val="0A3F768D"/>
    <w:rsid w:val="0A713400"/>
    <w:rsid w:val="0B2C7B6A"/>
    <w:rsid w:val="0B48FBEF"/>
    <w:rsid w:val="0C5D10B0"/>
    <w:rsid w:val="0CB19837"/>
    <w:rsid w:val="0CE998B2"/>
    <w:rsid w:val="0E3D3B6E"/>
    <w:rsid w:val="0E8CDBD6"/>
    <w:rsid w:val="0EF1D4CC"/>
    <w:rsid w:val="0F11C493"/>
    <w:rsid w:val="0F7A3827"/>
    <w:rsid w:val="0FB98C1F"/>
    <w:rsid w:val="101A9960"/>
    <w:rsid w:val="1030014A"/>
    <w:rsid w:val="10399CF2"/>
    <w:rsid w:val="11346143"/>
    <w:rsid w:val="1174DC30"/>
    <w:rsid w:val="11B27778"/>
    <w:rsid w:val="11D53A82"/>
    <w:rsid w:val="11E12BF5"/>
    <w:rsid w:val="120ADEE5"/>
    <w:rsid w:val="1355011F"/>
    <w:rsid w:val="13CAFA27"/>
    <w:rsid w:val="14656FE6"/>
    <w:rsid w:val="153F8A8A"/>
    <w:rsid w:val="15586B30"/>
    <w:rsid w:val="15C7CD4B"/>
    <w:rsid w:val="15F27A9B"/>
    <w:rsid w:val="1609F71B"/>
    <w:rsid w:val="16AD75E6"/>
    <w:rsid w:val="16CC7DB9"/>
    <w:rsid w:val="170A242E"/>
    <w:rsid w:val="178FF91E"/>
    <w:rsid w:val="181AE4F2"/>
    <w:rsid w:val="1821B8FC"/>
    <w:rsid w:val="18329A69"/>
    <w:rsid w:val="185977A1"/>
    <w:rsid w:val="1B23287B"/>
    <w:rsid w:val="1BBA6C01"/>
    <w:rsid w:val="1C015C24"/>
    <w:rsid w:val="1C33F454"/>
    <w:rsid w:val="1D06DBCA"/>
    <w:rsid w:val="1D0DC59C"/>
    <w:rsid w:val="1D7D3A4A"/>
    <w:rsid w:val="1D9E5E0F"/>
    <w:rsid w:val="1DAB51CA"/>
    <w:rsid w:val="1DBD73BA"/>
    <w:rsid w:val="1DE91EE8"/>
    <w:rsid w:val="1DF846BB"/>
    <w:rsid w:val="1E1BEBF0"/>
    <w:rsid w:val="1E8F9FF6"/>
    <w:rsid w:val="1EA21E0C"/>
    <w:rsid w:val="2026F11F"/>
    <w:rsid w:val="202FB28B"/>
    <w:rsid w:val="203DAD6B"/>
    <w:rsid w:val="2090F905"/>
    <w:rsid w:val="20AB2251"/>
    <w:rsid w:val="2120BFAA"/>
    <w:rsid w:val="212ACA91"/>
    <w:rsid w:val="21592B9D"/>
    <w:rsid w:val="2176A016"/>
    <w:rsid w:val="2210EDD6"/>
    <w:rsid w:val="22A74AB3"/>
    <w:rsid w:val="23F7DCFB"/>
    <w:rsid w:val="2486E313"/>
    <w:rsid w:val="24ED8442"/>
    <w:rsid w:val="25186B4F"/>
    <w:rsid w:val="25CC142E"/>
    <w:rsid w:val="25D7C838"/>
    <w:rsid w:val="265D571F"/>
    <w:rsid w:val="26665630"/>
    <w:rsid w:val="2697052B"/>
    <w:rsid w:val="2699B3AF"/>
    <w:rsid w:val="2767E48F"/>
    <w:rsid w:val="279DE8A8"/>
    <w:rsid w:val="2822A5B3"/>
    <w:rsid w:val="282F8CE8"/>
    <w:rsid w:val="2883C421"/>
    <w:rsid w:val="28BF6CC4"/>
    <w:rsid w:val="2912775C"/>
    <w:rsid w:val="2A7E64D6"/>
    <w:rsid w:val="2AFFEE45"/>
    <w:rsid w:val="2B127F85"/>
    <w:rsid w:val="2BD8871F"/>
    <w:rsid w:val="2D573544"/>
    <w:rsid w:val="2D8ED039"/>
    <w:rsid w:val="2DB60598"/>
    <w:rsid w:val="2DE13B29"/>
    <w:rsid w:val="2E8ADEB2"/>
    <w:rsid w:val="2EF5A0EE"/>
    <w:rsid w:val="2F07733D"/>
    <w:rsid w:val="2F9A545D"/>
    <w:rsid w:val="2FAD0B80"/>
    <w:rsid w:val="2FCBF32B"/>
    <w:rsid w:val="305F6DF1"/>
    <w:rsid w:val="32CA7D2E"/>
    <w:rsid w:val="332BB94E"/>
    <w:rsid w:val="3408BCA7"/>
    <w:rsid w:val="34494C01"/>
    <w:rsid w:val="3459B811"/>
    <w:rsid w:val="347054F3"/>
    <w:rsid w:val="35017BF8"/>
    <w:rsid w:val="356E5435"/>
    <w:rsid w:val="3661B7EE"/>
    <w:rsid w:val="36687F5F"/>
    <w:rsid w:val="367BF19F"/>
    <w:rsid w:val="36BC562F"/>
    <w:rsid w:val="3790172F"/>
    <w:rsid w:val="3799B476"/>
    <w:rsid w:val="37A2B3AE"/>
    <w:rsid w:val="37AE127E"/>
    <w:rsid w:val="37E41EC8"/>
    <w:rsid w:val="38029867"/>
    <w:rsid w:val="3835A27C"/>
    <w:rsid w:val="397554C7"/>
    <w:rsid w:val="3A2D81A5"/>
    <w:rsid w:val="3A602618"/>
    <w:rsid w:val="3B24C07A"/>
    <w:rsid w:val="3B36CB33"/>
    <w:rsid w:val="3B4FBD0D"/>
    <w:rsid w:val="3B732673"/>
    <w:rsid w:val="3BC449BE"/>
    <w:rsid w:val="3BE85CD9"/>
    <w:rsid w:val="3C4AE3A1"/>
    <w:rsid w:val="3C68296E"/>
    <w:rsid w:val="3C86AD8B"/>
    <w:rsid w:val="3CFCA693"/>
    <w:rsid w:val="3D7B901B"/>
    <w:rsid w:val="3D95538F"/>
    <w:rsid w:val="3DBAD30A"/>
    <w:rsid w:val="3DFCEBDB"/>
    <w:rsid w:val="3E493D1F"/>
    <w:rsid w:val="3E66DF58"/>
    <w:rsid w:val="3E73DDBC"/>
    <w:rsid w:val="3E838ECB"/>
    <w:rsid w:val="3EA7BA14"/>
    <w:rsid w:val="3F3D2D5D"/>
    <w:rsid w:val="3F56A36B"/>
    <w:rsid w:val="3FD194C5"/>
    <w:rsid w:val="410BB7AA"/>
    <w:rsid w:val="41A60CB7"/>
    <w:rsid w:val="43348D24"/>
    <w:rsid w:val="439421D3"/>
    <w:rsid w:val="43F1F4DC"/>
    <w:rsid w:val="441B808A"/>
    <w:rsid w:val="4492477E"/>
    <w:rsid w:val="44ED4172"/>
    <w:rsid w:val="44F4FA68"/>
    <w:rsid w:val="451DD781"/>
    <w:rsid w:val="45232899"/>
    <w:rsid w:val="4532E7A9"/>
    <w:rsid w:val="45449C74"/>
    <w:rsid w:val="45B1E887"/>
    <w:rsid w:val="45D1706C"/>
    <w:rsid w:val="46275A5B"/>
    <w:rsid w:val="46369CF4"/>
    <w:rsid w:val="46680298"/>
    <w:rsid w:val="472CDAE0"/>
    <w:rsid w:val="47AA4F35"/>
    <w:rsid w:val="47D26D55"/>
    <w:rsid w:val="47E91D46"/>
    <w:rsid w:val="4802892C"/>
    <w:rsid w:val="484B0790"/>
    <w:rsid w:val="4877BFB2"/>
    <w:rsid w:val="48DF69E1"/>
    <w:rsid w:val="49006075"/>
    <w:rsid w:val="491D498F"/>
    <w:rsid w:val="4940D2B4"/>
    <w:rsid w:val="495A1C13"/>
    <w:rsid w:val="49B5F7F5"/>
    <w:rsid w:val="49BB3D57"/>
    <w:rsid w:val="4A2732C3"/>
    <w:rsid w:val="4A3C1C90"/>
    <w:rsid w:val="4A4A2C29"/>
    <w:rsid w:val="4A4F0ED7"/>
    <w:rsid w:val="4A847455"/>
    <w:rsid w:val="4AE1EFF7"/>
    <w:rsid w:val="4B276D20"/>
    <w:rsid w:val="4B997E0D"/>
    <w:rsid w:val="4C2AB5C0"/>
    <w:rsid w:val="4C7DC058"/>
    <w:rsid w:val="4CBD8C48"/>
    <w:rsid w:val="4CEDE304"/>
    <w:rsid w:val="4D052D78"/>
    <w:rsid w:val="4D14A2E2"/>
    <w:rsid w:val="4DCF69A3"/>
    <w:rsid w:val="4DF43497"/>
    <w:rsid w:val="4DF5BEA5"/>
    <w:rsid w:val="4DF940C5"/>
    <w:rsid w:val="4E00F53C"/>
    <w:rsid w:val="4E1990B9"/>
    <w:rsid w:val="4E858B18"/>
    <w:rsid w:val="4E94DDAF"/>
    <w:rsid w:val="4E9DCB5C"/>
    <w:rsid w:val="4F96EBDB"/>
    <w:rsid w:val="502BBB9C"/>
    <w:rsid w:val="5132BC3C"/>
    <w:rsid w:val="51A9A18C"/>
    <w:rsid w:val="51BFF2D7"/>
    <w:rsid w:val="51DC1B78"/>
    <w:rsid w:val="51E3322C"/>
    <w:rsid w:val="520078AD"/>
    <w:rsid w:val="5245B324"/>
    <w:rsid w:val="524F7423"/>
    <w:rsid w:val="5251E91A"/>
    <w:rsid w:val="52F72969"/>
    <w:rsid w:val="53086FD3"/>
    <w:rsid w:val="535C4CB0"/>
    <w:rsid w:val="53818686"/>
    <w:rsid w:val="53D61CA5"/>
    <w:rsid w:val="54815A4C"/>
    <w:rsid w:val="5488D23D"/>
    <w:rsid w:val="54C528F9"/>
    <w:rsid w:val="55579596"/>
    <w:rsid w:val="5607C336"/>
    <w:rsid w:val="5640515D"/>
    <w:rsid w:val="569088BD"/>
    <w:rsid w:val="570F3FAF"/>
    <w:rsid w:val="57186591"/>
    <w:rsid w:val="57439213"/>
    <w:rsid w:val="576D0437"/>
    <w:rsid w:val="577DA512"/>
    <w:rsid w:val="57F83A37"/>
    <w:rsid w:val="58003EEF"/>
    <w:rsid w:val="5807207F"/>
    <w:rsid w:val="582C591E"/>
    <w:rsid w:val="58827218"/>
    <w:rsid w:val="59876FE2"/>
    <w:rsid w:val="599AFBE6"/>
    <w:rsid w:val="59E8EAD3"/>
    <w:rsid w:val="5A43D2A2"/>
    <w:rsid w:val="5AB61C8D"/>
    <w:rsid w:val="5D6E6A10"/>
    <w:rsid w:val="5D6F0B98"/>
    <w:rsid w:val="5E488436"/>
    <w:rsid w:val="5E776DF9"/>
    <w:rsid w:val="5EDAF912"/>
    <w:rsid w:val="5F0EFE1D"/>
    <w:rsid w:val="629A29D2"/>
    <w:rsid w:val="629AE428"/>
    <w:rsid w:val="62ED18E9"/>
    <w:rsid w:val="631CB2D1"/>
    <w:rsid w:val="632660E4"/>
    <w:rsid w:val="63D8735A"/>
    <w:rsid w:val="64031BD5"/>
    <w:rsid w:val="6450ACC8"/>
    <w:rsid w:val="6560F520"/>
    <w:rsid w:val="656E3F7B"/>
    <w:rsid w:val="65CD1F06"/>
    <w:rsid w:val="662CE590"/>
    <w:rsid w:val="6642B3EE"/>
    <w:rsid w:val="666DD2C2"/>
    <w:rsid w:val="671F888B"/>
    <w:rsid w:val="675173DD"/>
    <w:rsid w:val="67884D8A"/>
    <w:rsid w:val="67C8B5F1"/>
    <w:rsid w:val="686EB05A"/>
    <w:rsid w:val="68E26221"/>
    <w:rsid w:val="69B67415"/>
    <w:rsid w:val="69FA08EF"/>
    <w:rsid w:val="6A5DF27B"/>
    <w:rsid w:val="6B55F101"/>
    <w:rsid w:val="6BAAA9BB"/>
    <w:rsid w:val="6BD196F8"/>
    <w:rsid w:val="6C308B97"/>
    <w:rsid w:val="6CC80E72"/>
    <w:rsid w:val="6CDD53CA"/>
    <w:rsid w:val="6D10FC89"/>
    <w:rsid w:val="6D491233"/>
    <w:rsid w:val="6D87E43B"/>
    <w:rsid w:val="6DF088A1"/>
    <w:rsid w:val="6E1ECF18"/>
    <w:rsid w:val="6E203FD1"/>
    <w:rsid w:val="6E4AB676"/>
    <w:rsid w:val="6EDEF07E"/>
    <w:rsid w:val="6F0BFEB7"/>
    <w:rsid w:val="70408AC4"/>
    <w:rsid w:val="7062C772"/>
    <w:rsid w:val="711B00C3"/>
    <w:rsid w:val="7164C647"/>
    <w:rsid w:val="71DB27EB"/>
    <w:rsid w:val="724765AE"/>
    <w:rsid w:val="72556111"/>
    <w:rsid w:val="730DAE32"/>
    <w:rsid w:val="73A66129"/>
    <w:rsid w:val="73B075A9"/>
    <w:rsid w:val="7421F8D6"/>
    <w:rsid w:val="74917034"/>
    <w:rsid w:val="74CACD8F"/>
    <w:rsid w:val="755CA66E"/>
    <w:rsid w:val="7563D775"/>
    <w:rsid w:val="7638376A"/>
    <w:rsid w:val="764687F3"/>
    <w:rsid w:val="769538BE"/>
    <w:rsid w:val="76AEE9FA"/>
    <w:rsid w:val="76C74833"/>
    <w:rsid w:val="770EEB6C"/>
    <w:rsid w:val="7799640C"/>
    <w:rsid w:val="77B30025"/>
    <w:rsid w:val="77C5CBE9"/>
    <w:rsid w:val="7807F569"/>
    <w:rsid w:val="7827F3F7"/>
    <w:rsid w:val="785F13AB"/>
    <w:rsid w:val="78755D1F"/>
    <w:rsid w:val="788F3195"/>
    <w:rsid w:val="78923447"/>
    <w:rsid w:val="78B9665E"/>
    <w:rsid w:val="78B97451"/>
    <w:rsid w:val="78D851A1"/>
    <w:rsid w:val="7934A632"/>
    <w:rsid w:val="796FD82C"/>
    <w:rsid w:val="7999A858"/>
    <w:rsid w:val="79A68B63"/>
    <w:rsid w:val="79ADF881"/>
    <w:rsid w:val="79D1311C"/>
    <w:rsid w:val="7B2B92BC"/>
    <w:rsid w:val="7C3A38C0"/>
    <w:rsid w:val="7C60C470"/>
    <w:rsid w:val="7CA11007"/>
    <w:rsid w:val="7CE20AE7"/>
    <w:rsid w:val="7D6CB560"/>
    <w:rsid w:val="7DC5B4D4"/>
    <w:rsid w:val="7DDC69B1"/>
    <w:rsid w:val="7DE1C859"/>
    <w:rsid w:val="7DE27FC2"/>
    <w:rsid w:val="7E62200E"/>
    <w:rsid w:val="7E701400"/>
    <w:rsid w:val="7E995C15"/>
    <w:rsid w:val="7F170A74"/>
    <w:rsid w:val="7F3FF4EC"/>
    <w:rsid w:val="7F549D33"/>
    <w:rsid w:val="7F666765"/>
    <w:rsid w:val="7FD422DB"/>
    <w:rsid w:val="7FDF3248"/>
    <w:rsid w:val="7FF2A48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4D61E"/>
  <w14:defaultImageDpi w14:val="32767"/>
  <w15:chartTrackingRefBased/>
  <w15:docId w15:val="{DC3DF861-1A19-4BAF-B738-D18CF40C1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6B4E"/>
    <w:pPr>
      <w:spacing w:after="160" w:line="276" w:lineRule="auto"/>
    </w:pPr>
  </w:style>
  <w:style w:type="paragraph" w:styleId="Heading2">
    <w:name w:val="heading 2"/>
    <w:basedOn w:val="Normal"/>
    <w:next w:val="Normal"/>
    <w:link w:val="Heading2Char"/>
    <w:uiPriority w:val="9"/>
    <w:unhideWhenUsed/>
    <w:qFormat/>
    <w:rsid w:val="00862A26"/>
    <w:pPr>
      <w:keepNext/>
      <w:keepLines/>
      <w:shd w:val="clear" w:color="auto" w:fill="007DA3"/>
      <w:spacing w:before="360" w:line="240" w:lineRule="auto"/>
      <w:ind w:firstLine="144"/>
      <w:outlineLvl w:val="1"/>
    </w:pPr>
    <w:rPr>
      <w:rFonts w:eastAsia="Calibri" w:cstheme="minorHAnsi"/>
      <w:b/>
      <w:color w:val="FFFFFF" w:themeColor="background1"/>
      <w:sz w:val="36"/>
      <w:szCs w:val="44"/>
    </w:rPr>
  </w:style>
  <w:style w:type="paragraph" w:styleId="Heading3">
    <w:name w:val="heading 3"/>
    <w:basedOn w:val="Normal"/>
    <w:next w:val="Normal"/>
    <w:link w:val="Heading3Char"/>
    <w:uiPriority w:val="9"/>
    <w:unhideWhenUsed/>
    <w:qFormat/>
    <w:rsid w:val="00853D85"/>
    <w:pPr>
      <w:keepNext/>
      <w:keepLines/>
      <w:tabs>
        <w:tab w:val="left" w:pos="8460"/>
        <w:tab w:val="left" w:pos="9090"/>
      </w:tabs>
      <w:spacing w:before="240" w:after="120" w:line="240" w:lineRule="auto"/>
      <w:outlineLvl w:val="2"/>
    </w:pPr>
    <w:rPr>
      <w:rFonts w:cstheme="minorHAnsi"/>
      <w:b/>
      <w:bCs/>
      <w:color w:val="007DA3"/>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294"/>
    <w:pPr>
      <w:tabs>
        <w:tab w:val="center" w:pos="4680"/>
        <w:tab w:val="right" w:pos="9360"/>
      </w:tabs>
    </w:pPr>
  </w:style>
  <w:style w:type="character" w:customStyle="1" w:styleId="HeaderChar">
    <w:name w:val="Header Char"/>
    <w:basedOn w:val="DefaultParagraphFont"/>
    <w:link w:val="Header"/>
    <w:uiPriority w:val="99"/>
    <w:rsid w:val="00213294"/>
  </w:style>
  <w:style w:type="paragraph" w:styleId="Footer">
    <w:name w:val="footer"/>
    <w:basedOn w:val="Normal"/>
    <w:link w:val="FooterChar"/>
    <w:uiPriority w:val="99"/>
    <w:unhideWhenUsed/>
    <w:rsid w:val="00213294"/>
    <w:pPr>
      <w:tabs>
        <w:tab w:val="center" w:pos="4680"/>
        <w:tab w:val="right" w:pos="9360"/>
      </w:tabs>
    </w:pPr>
  </w:style>
  <w:style w:type="character" w:customStyle="1" w:styleId="FooterChar">
    <w:name w:val="Footer Char"/>
    <w:basedOn w:val="DefaultParagraphFont"/>
    <w:link w:val="Footer"/>
    <w:uiPriority w:val="99"/>
    <w:rsid w:val="00213294"/>
  </w:style>
  <w:style w:type="table" w:styleId="TableGrid">
    <w:name w:val="Table Grid"/>
    <w:basedOn w:val="TableNormal"/>
    <w:uiPriority w:val="59"/>
    <w:rsid w:val="009D662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s">
    <w:name w:val="Table Titles"/>
    <w:link w:val="TableTitlesChar"/>
    <w:rsid w:val="008D67CC"/>
    <w:pPr>
      <w:spacing w:before="60" w:after="60"/>
    </w:pPr>
    <w:rPr>
      <w:rFonts w:ascii="Calibri" w:eastAsia="Calibri" w:hAnsi="Calibri" w:cs="Times New Roman"/>
      <w:b/>
      <w:bCs/>
      <w:sz w:val="32"/>
      <w:szCs w:val="32"/>
      <w:lang w:bidi="en-US"/>
    </w:rPr>
  </w:style>
  <w:style w:type="character" w:customStyle="1" w:styleId="TableTitlesChar">
    <w:name w:val="Table Titles Char"/>
    <w:link w:val="TableTitles"/>
    <w:rsid w:val="008D67CC"/>
    <w:rPr>
      <w:rFonts w:ascii="Calibri" w:eastAsia="Calibri" w:hAnsi="Calibri" w:cs="Times New Roman"/>
      <w:b/>
      <w:bCs/>
      <w:sz w:val="32"/>
      <w:szCs w:val="32"/>
      <w:lang w:bidi="en-US"/>
    </w:rPr>
  </w:style>
  <w:style w:type="character" w:styleId="CommentReference">
    <w:name w:val="annotation reference"/>
    <w:basedOn w:val="DefaultParagraphFont"/>
    <w:uiPriority w:val="99"/>
    <w:semiHidden/>
    <w:unhideWhenUsed/>
    <w:rsid w:val="009D662B"/>
    <w:rPr>
      <w:sz w:val="16"/>
      <w:szCs w:val="16"/>
    </w:rPr>
  </w:style>
  <w:style w:type="paragraph" w:styleId="CommentText">
    <w:name w:val="annotation text"/>
    <w:basedOn w:val="Normal"/>
    <w:link w:val="CommentTextChar"/>
    <w:uiPriority w:val="99"/>
    <w:unhideWhenUsed/>
    <w:rsid w:val="009D662B"/>
    <w:pPr>
      <w:spacing w:after="200"/>
    </w:pPr>
    <w:rPr>
      <w:sz w:val="20"/>
      <w:szCs w:val="20"/>
    </w:rPr>
  </w:style>
  <w:style w:type="character" w:customStyle="1" w:styleId="CommentTextChar">
    <w:name w:val="Comment Text Char"/>
    <w:basedOn w:val="DefaultParagraphFont"/>
    <w:link w:val="CommentText"/>
    <w:uiPriority w:val="99"/>
    <w:rsid w:val="009D662B"/>
    <w:rPr>
      <w:sz w:val="20"/>
      <w:szCs w:val="20"/>
    </w:rPr>
  </w:style>
  <w:style w:type="paragraph" w:styleId="ListParagraph">
    <w:name w:val="List Paragraph"/>
    <w:basedOn w:val="Normal"/>
    <w:uiPriority w:val="34"/>
    <w:qFormat/>
    <w:rsid w:val="002B445A"/>
    <w:pPr>
      <w:ind w:left="720"/>
      <w:contextualSpacing/>
    </w:pPr>
    <w:rPr>
      <w:szCs w:val="22"/>
    </w:rPr>
  </w:style>
  <w:style w:type="paragraph" w:styleId="BalloonText">
    <w:name w:val="Balloon Text"/>
    <w:basedOn w:val="Normal"/>
    <w:link w:val="BalloonTextChar"/>
    <w:uiPriority w:val="99"/>
    <w:semiHidden/>
    <w:unhideWhenUsed/>
    <w:rsid w:val="003F2E36"/>
    <w:rPr>
      <w:rFonts w:ascii="Tahoma" w:hAnsi="Tahoma" w:cs="Tahoma"/>
      <w:sz w:val="16"/>
      <w:szCs w:val="16"/>
    </w:rPr>
  </w:style>
  <w:style w:type="character" w:customStyle="1" w:styleId="BalloonTextChar">
    <w:name w:val="Balloon Text Char"/>
    <w:basedOn w:val="DefaultParagraphFont"/>
    <w:link w:val="BalloonText"/>
    <w:uiPriority w:val="99"/>
    <w:semiHidden/>
    <w:rsid w:val="003F2E36"/>
    <w:rPr>
      <w:rFonts w:ascii="Tahoma" w:hAnsi="Tahoma" w:cs="Tahoma"/>
      <w:sz w:val="16"/>
      <w:szCs w:val="16"/>
    </w:r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C83EA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EA44BF"/>
    <w:pPr>
      <w:spacing w:after="0"/>
    </w:pPr>
    <w:rPr>
      <w:b/>
      <w:bCs/>
    </w:rPr>
  </w:style>
  <w:style w:type="character" w:customStyle="1" w:styleId="CommentSubjectChar">
    <w:name w:val="Comment Subject Char"/>
    <w:basedOn w:val="CommentTextChar"/>
    <w:link w:val="CommentSubject"/>
    <w:uiPriority w:val="99"/>
    <w:semiHidden/>
    <w:rsid w:val="00EA44BF"/>
    <w:rPr>
      <w:b/>
      <w:bCs/>
      <w:sz w:val="20"/>
      <w:szCs w:val="20"/>
    </w:rPr>
  </w:style>
  <w:style w:type="paragraph" w:styleId="Revision">
    <w:name w:val="Revision"/>
    <w:hidden/>
    <w:uiPriority w:val="99"/>
    <w:semiHidden/>
    <w:rsid w:val="0071211A"/>
  </w:style>
  <w:style w:type="paragraph" w:customStyle="1" w:styleId="paragraph">
    <w:name w:val="paragraph"/>
    <w:basedOn w:val="Normal"/>
    <w:rsid w:val="009E1CC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E1CC9"/>
  </w:style>
  <w:style w:type="character" w:customStyle="1" w:styleId="eop">
    <w:name w:val="eop"/>
    <w:basedOn w:val="DefaultParagraphFont"/>
    <w:rsid w:val="009E1CC9"/>
  </w:style>
  <w:style w:type="character" w:customStyle="1" w:styleId="italic">
    <w:name w:val="italic"/>
    <w:basedOn w:val="DefaultParagraphFont"/>
    <w:rsid w:val="002B3C21"/>
  </w:style>
  <w:style w:type="character" w:customStyle="1" w:styleId="UnresolvedMention2">
    <w:name w:val="Unresolved Mention2"/>
    <w:basedOn w:val="DefaultParagraphFont"/>
    <w:uiPriority w:val="99"/>
    <w:semiHidden/>
    <w:unhideWhenUsed/>
    <w:rsid w:val="002F4483"/>
    <w:rPr>
      <w:color w:val="605E5C"/>
      <w:shd w:val="clear" w:color="auto" w:fill="E1DFDD"/>
    </w:rPr>
  </w:style>
  <w:style w:type="paragraph" w:styleId="Title">
    <w:name w:val="Title"/>
    <w:basedOn w:val="Normal"/>
    <w:next w:val="Normal"/>
    <w:link w:val="TitleChar"/>
    <w:uiPriority w:val="10"/>
    <w:qFormat/>
    <w:rsid w:val="00295813"/>
    <w:pPr>
      <w:spacing w:before="480" w:after="360" w:line="240" w:lineRule="auto"/>
      <w:ind w:left="2160" w:right="2160"/>
      <w:jc w:val="center"/>
    </w:pPr>
    <w:rPr>
      <w:b/>
      <w:sz w:val="40"/>
      <w:szCs w:val="40"/>
    </w:rPr>
  </w:style>
  <w:style w:type="character" w:customStyle="1" w:styleId="TitleChar">
    <w:name w:val="Title Char"/>
    <w:basedOn w:val="DefaultParagraphFont"/>
    <w:link w:val="Title"/>
    <w:uiPriority w:val="10"/>
    <w:rsid w:val="00295813"/>
    <w:rPr>
      <w:b/>
      <w:sz w:val="40"/>
      <w:szCs w:val="40"/>
    </w:rPr>
  </w:style>
  <w:style w:type="paragraph" w:styleId="Subtitle">
    <w:name w:val="Subtitle"/>
    <w:basedOn w:val="Normal"/>
    <w:next w:val="Normal"/>
    <w:link w:val="SubtitleChar"/>
    <w:uiPriority w:val="11"/>
    <w:qFormat/>
    <w:rsid w:val="00084D88"/>
    <w:pPr>
      <w:jc w:val="center"/>
    </w:pPr>
    <w:rPr>
      <w:sz w:val="32"/>
      <w:szCs w:val="32"/>
    </w:rPr>
  </w:style>
  <w:style w:type="character" w:customStyle="1" w:styleId="SubtitleChar">
    <w:name w:val="Subtitle Char"/>
    <w:basedOn w:val="DefaultParagraphFont"/>
    <w:link w:val="Subtitle"/>
    <w:uiPriority w:val="11"/>
    <w:rsid w:val="00084D88"/>
    <w:rPr>
      <w:sz w:val="32"/>
      <w:szCs w:val="32"/>
    </w:rPr>
  </w:style>
  <w:style w:type="paragraph" w:customStyle="1" w:styleId="RightColumnFormat">
    <w:name w:val="Right Column Format"/>
    <w:link w:val="RightColumnFormatChar"/>
    <w:rsid w:val="002C7465"/>
    <w:pPr>
      <w:spacing w:after="240"/>
      <w:contextualSpacing/>
    </w:pPr>
    <w:rPr>
      <w:rFonts w:ascii="Calibri" w:eastAsia="Calibri" w:hAnsi="Calibri" w:cs="Times New Roman"/>
      <w:b/>
      <w:bCs/>
      <w:sz w:val="28"/>
      <w:szCs w:val="28"/>
      <w:lang w:bidi="en-US"/>
    </w:rPr>
  </w:style>
  <w:style w:type="paragraph" w:customStyle="1" w:styleId="LeftColumnTitle">
    <w:name w:val="Left Column Title"/>
    <w:link w:val="LeftColumnTitleChar"/>
    <w:rsid w:val="006F5581"/>
    <w:pPr>
      <w:spacing w:after="240"/>
    </w:pPr>
    <w:rPr>
      <w:rFonts w:ascii="Calibri" w:eastAsia="Calibri" w:hAnsi="Calibri" w:cs="Times New Roman"/>
      <w:b/>
      <w:bCs/>
      <w:sz w:val="28"/>
      <w:szCs w:val="32"/>
      <w:lang w:bidi="en-US"/>
    </w:rPr>
  </w:style>
  <w:style w:type="character" w:customStyle="1" w:styleId="RightColumnFormatChar">
    <w:name w:val="Right Column Format Char"/>
    <w:basedOn w:val="TableTitlesChar"/>
    <w:link w:val="RightColumnFormat"/>
    <w:rsid w:val="002C7465"/>
    <w:rPr>
      <w:rFonts w:ascii="Calibri" w:eastAsia="Calibri" w:hAnsi="Calibri" w:cs="Times New Roman"/>
      <w:b/>
      <w:bCs/>
      <w:sz w:val="28"/>
      <w:szCs w:val="28"/>
      <w:lang w:bidi="en-US"/>
    </w:rPr>
  </w:style>
  <w:style w:type="paragraph" w:customStyle="1" w:styleId="FooterText">
    <w:name w:val="Footer Text"/>
    <w:link w:val="FooterTextChar"/>
    <w:rsid w:val="0012621A"/>
    <w:rPr>
      <w:rFonts w:ascii="Calibri" w:eastAsia="Calibri" w:hAnsi="Calibri" w:cs="Times New Roman"/>
      <w:bCs/>
      <w:sz w:val="20"/>
      <w:szCs w:val="20"/>
      <w:lang w:bidi="en-US"/>
    </w:rPr>
  </w:style>
  <w:style w:type="character" w:customStyle="1" w:styleId="LeftColumnTitleChar">
    <w:name w:val="Left Column Title Char"/>
    <w:basedOn w:val="TableTitlesChar"/>
    <w:link w:val="LeftColumnTitle"/>
    <w:rsid w:val="006F5581"/>
    <w:rPr>
      <w:rFonts w:ascii="Calibri" w:eastAsia="Calibri" w:hAnsi="Calibri" w:cs="Times New Roman"/>
      <w:b/>
      <w:bCs/>
      <w:sz w:val="28"/>
      <w:szCs w:val="32"/>
      <w:lang w:bidi="en-US"/>
    </w:rPr>
  </w:style>
  <w:style w:type="character" w:customStyle="1" w:styleId="FooterTextChar">
    <w:name w:val="Footer Text Char"/>
    <w:basedOn w:val="DefaultParagraphFont"/>
    <w:link w:val="FooterText"/>
    <w:rsid w:val="0012621A"/>
    <w:rPr>
      <w:rFonts w:ascii="Calibri" w:eastAsia="Calibri" w:hAnsi="Calibri" w:cs="Times New Roman"/>
      <w:bCs/>
      <w:sz w:val="20"/>
      <w:szCs w:val="20"/>
      <w:lang w:bidi="en-US"/>
    </w:rPr>
  </w:style>
  <w:style w:type="paragraph" w:customStyle="1" w:styleId="HeaderTitle">
    <w:name w:val="Header Title"/>
    <w:link w:val="HeaderTitleChar"/>
    <w:qFormat/>
    <w:rsid w:val="00E92A41"/>
    <w:pPr>
      <w:spacing w:before="240" w:after="120"/>
      <w:ind w:left="1440" w:right="1440"/>
      <w:jc w:val="center"/>
    </w:pPr>
    <w:rPr>
      <w:b/>
      <w:sz w:val="44"/>
      <w:szCs w:val="44"/>
    </w:rPr>
  </w:style>
  <w:style w:type="character" w:customStyle="1" w:styleId="HeaderTitleChar">
    <w:name w:val="Header Title Char"/>
    <w:basedOn w:val="TitleChar"/>
    <w:link w:val="HeaderTitle"/>
    <w:rsid w:val="00E92A41"/>
    <w:rPr>
      <w:b/>
      <w:sz w:val="44"/>
      <w:szCs w:val="44"/>
    </w:rPr>
  </w:style>
  <w:style w:type="character" w:customStyle="1" w:styleId="Heading2Char">
    <w:name w:val="Heading 2 Char"/>
    <w:basedOn w:val="DefaultParagraphFont"/>
    <w:link w:val="Heading2"/>
    <w:uiPriority w:val="9"/>
    <w:rsid w:val="00862A26"/>
    <w:rPr>
      <w:rFonts w:eastAsia="Calibri" w:cstheme="minorHAnsi"/>
      <w:b/>
      <w:color w:val="FFFFFF" w:themeColor="background1"/>
      <w:sz w:val="36"/>
      <w:szCs w:val="44"/>
      <w:shd w:val="clear" w:color="auto" w:fill="007DA3"/>
    </w:rPr>
  </w:style>
  <w:style w:type="character" w:customStyle="1" w:styleId="Heading3Char">
    <w:name w:val="Heading 3 Char"/>
    <w:basedOn w:val="DefaultParagraphFont"/>
    <w:link w:val="Heading3"/>
    <w:uiPriority w:val="9"/>
    <w:rsid w:val="00853D85"/>
    <w:rPr>
      <w:rFonts w:cstheme="minorHAnsi"/>
      <w:b/>
      <w:bCs/>
      <w:color w:val="007DA3"/>
      <w:sz w:val="28"/>
      <w:szCs w:val="28"/>
      <w:u w:val="single"/>
    </w:rPr>
  </w:style>
  <w:style w:type="paragraph" w:customStyle="1" w:styleId="FooterText0">
    <w:name w:val="FooterText"/>
    <w:basedOn w:val="FooterText"/>
    <w:link w:val="FooterTextChar0"/>
    <w:qFormat/>
    <w:rsid w:val="00B85BBB"/>
  </w:style>
  <w:style w:type="character" w:customStyle="1" w:styleId="FooterTextChar0">
    <w:name w:val="FooterText Char"/>
    <w:basedOn w:val="FooterTextChar"/>
    <w:link w:val="FooterText0"/>
    <w:rsid w:val="00B85BBB"/>
    <w:rPr>
      <w:rFonts w:ascii="Calibri" w:eastAsia="Calibri" w:hAnsi="Calibri" w:cs="Times New Roman"/>
      <w:bCs/>
      <w:sz w:val="20"/>
      <w:szCs w:val="20"/>
      <w:lang w:bidi="en-US"/>
    </w:rPr>
  </w:style>
  <w:style w:type="paragraph" w:styleId="NoSpacing">
    <w:name w:val="No Spacing"/>
    <w:basedOn w:val="Normal"/>
    <w:link w:val="NoSpacingChar"/>
    <w:uiPriority w:val="1"/>
    <w:qFormat/>
    <w:rsid w:val="00E81B4B"/>
    <w:pPr>
      <w:spacing w:after="0"/>
      <w:ind w:hanging="10"/>
      <w:contextualSpacing/>
    </w:pPr>
    <w:rPr>
      <w:rFonts w:ascii="Segoe UI" w:eastAsia="Calibri" w:hAnsi="Segoe UI" w:cs="Segoe UI"/>
      <w:color w:val="000000"/>
      <w:sz w:val="22"/>
      <w:szCs w:val="20"/>
      <w:lang w:eastAsia="ko-KR"/>
    </w:rPr>
  </w:style>
  <w:style w:type="character" w:customStyle="1" w:styleId="NoSpacingChar">
    <w:name w:val="No Spacing Char"/>
    <w:basedOn w:val="DefaultParagraphFont"/>
    <w:link w:val="NoSpacing"/>
    <w:uiPriority w:val="1"/>
    <w:rsid w:val="00E81B4B"/>
    <w:rPr>
      <w:rFonts w:ascii="Segoe UI" w:eastAsia="Calibri" w:hAnsi="Segoe UI" w:cs="Segoe UI"/>
      <w:color w:val="000000"/>
      <w:sz w:val="22"/>
      <w:szCs w:val="20"/>
      <w:lang w:eastAsia="ko-KR"/>
    </w:rPr>
  </w:style>
  <w:style w:type="character" w:styleId="UnresolvedMention">
    <w:name w:val="Unresolved Mention"/>
    <w:basedOn w:val="DefaultParagraphFont"/>
    <w:uiPriority w:val="99"/>
    <w:semiHidden/>
    <w:unhideWhenUsed/>
    <w:rsid w:val="00C353E2"/>
    <w:rPr>
      <w:color w:val="605E5C"/>
      <w:shd w:val="clear" w:color="auto" w:fill="E1DFDD"/>
    </w:rPr>
  </w:style>
  <w:style w:type="character" w:styleId="FollowedHyperlink">
    <w:name w:val="FollowedHyperlink"/>
    <w:basedOn w:val="DefaultParagraphFont"/>
    <w:uiPriority w:val="99"/>
    <w:semiHidden/>
    <w:unhideWhenUsed/>
    <w:rsid w:val="00332EA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3420">
      <w:bodyDiv w:val="1"/>
      <w:marLeft w:val="0"/>
      <w:marRight w:val="0"/>
      <w:marTop w:val="0"/>
      <w:marBottom w:val="0"/>
      <w:divBdr>
        <w:top w:val="none" w:sz="0" w:space="0" w:color="auto"/>
        <w:left w:val="none" w:sz="0" w:space="0" w:color="auto"/>
        <w:bottom w:val="none" w:sz="0" w:space="0" w:color="auto"/>
        <w:right w:val="none" w:sz="0" w:space="0" w:color="auto"/>
      </w:divBdr>
    </w:div>
    <w:div w:id="37319409">
      <w:bodyDiv w:val="1"/>
      <w:marLeft w:val="0"/>
      <w:marRight w:val="0"/>
      <w:marTop w:val="0"/>
      <w:marBottom w:val="0"/>
      <w:divBdr>
        <w:top w:val="none" w:sz="0" w:space="0" w:color="auto"/>
        <w:left w:val="none" w:sz="0" w:space="0" w:color="auto"/>
        <w:bottom w:val="none" w:sz="0" w:space="0" w:color="auto"/>
        <w:right w:val="none" w:sz="0" w:space="0" w:color="auto"/>
      </w:divBdr>
    </w:div>
    <w:div w:id="83765928">
      <w:bodyDiv w:val="1"/>
      <w:marLeft w:val="0"/>
      <w:marRight w:val="0"/>
      <w:marTop w:val="0"/>
      <w:marBottom w:val="0"/>
      <w:divBdr>
        <w:top w:val="none" w:sz="0" w:space="0" w:color="auto"/>
        <w:left w:val="none" w:sz="0" w:space="0" w:color="auto"/>
        <w:bottom w:val="none" w:sz="0" w:space="0" w:color="auto"/>
        <w:right w:val="none" w:sz="0" w:space="0" w:color="auto"/>
      </w:divBdr>
    </w:div>
    <w:div w:id="87821061">
      <w:bodyDiv w:val="1"/>
      <w:marLeft w:val="0"/>
      <w:marRight w:val="0"/>
      <w:marTop w:val="0"/>
      <w:marBottom w:val="0"/>
      <w:divBdr>
        <w:top w:val="none" w:sz="0" w:space="0" w:color="auto"/>
        <w:left w:val="none" w:sz="0" w:space="0" w:color="auto"/>
        <w:bottom w:val="none" w:sz="0" w:space="0" w:color="auto"/>
        <w:right w:val="none" w:sz="0" w:space="0" w:color="auto"/>
      </w:divBdr>
    </w:div>
    <w:div w:id="100230188">
      <w:bodyDiv w:val="1"/>
      <w:marLeft w:val="0"/>
      <w:marRight w:val="0"/>
      <w:marTop w:val="0"/>
      <w:marBottom w:val="0"/>
      <w:divBdr>
        <w:top w:val="none" w:sz="0" w:space="0" w:color="auto"/>
        <w:left w:val="none" w:sz="0" w:space="0" w:color="auto"/>
        <w:bottom w:val="none" w:sz="0" w:space="0" w:color="auto"/>
        <w:right w:val="none" w:sz="0" w:space="0" w:color="auto"/>
      </w:divBdr>
    </w:div>
    <w:div w:id="117139876">
      <w:bodyDiv w:val="1"/>
      <w:marLeft w:val="0"/>
      <w:marRight w:val="0"/>
      <w:marTop w:val="0"/>
      <w:marBottom w:val="0"/>
      <w:divBdr>
        <w:top w:val="none" w:sz="0" w:space="0" w:color="auto"/>
        <w:left w:val="none" w:sz="0" w:space="0" w:color="auto"/>
        <w:bottom w:val="none" w:sz="0" w:space="0" w:color="auto"/>
        <w:right w:val="none" w:sz="0" w:space="0" w:color="auto"/>
      </w:divBdr>
    </w:div>
    <w:div w:id="137308927">
      <w:bodyDiv w:val="1"/>
      <w:marLeft w:val="0"/>
      <w:marRight w:val="0"/>
      <w:marTop w:val="0"/>
      <w:marBottom w:val="0"/>
      <w:divBdr>
        <w:top w:val="none" w:sz="0" w:space="0" w:color="auto"/>
        <w:left w:val="none" w:sz="0" w:space="0" w:color="auto"/>
        <w:bottom w:val="none" w:sz="0" w:space="0" w:color="auto"/>
        <w:right w:val="none" w:sz="0" w:space="0" w:color="auto"/>
      </w:divBdr>
    </w:div>
    <w:div w:id="142358528">
      <w:bodyDiv w:val="1"/>
      <w:marLeft w:val="0"/>
      <w:marRight w:val="0"/>
      <w:marTop w:val="0"/>
      <w:marBottom w:val="0"/>
      <w:divBdr>
        <w:top w:val="none" w:sz="0" w:space="0" w:color="auto"/>
        <w:left w:val="none" w:sz="0" w:space="0" w:color="auto"/>
        <w:bottom w:val="none" w:sz="0" w:space="0" w:color="auto"/>
        <w:right w:val="none" w:sz="0" w:space="0" w:color="auto"/>
      </w:divBdr>
      <w:divsChild>
        <w:div w:id="1805350480">
          <w:marLeft w:val="1512"/>
          <w:marRight w:val="0"/>
          <w:marTop w:val="110"/>
          <w:marBottom w:val="0"/>
          <w:divBdr>
            <w:top w:val="none" w:sz="0" w:space="0" w:color="auto"/>
            <w:left w:val="none" w:sz="0" w:space="0" w:color="auto"/>
            <w:bottom w:val="none" w:sz="0" w:space="0" w:color="auto"/>
            <w:right w:val="none" w:sz="0" w:space="0" w:color="auto"/>
          </w:divBdr>
        </w:div>
      </w:divsChild>
    </w:div>
    <w:div w:id="145050205">
      <w:bodyDiv w:val="1"/>
      <w:marLeft w:val="0"/>
      <w:marRight w:val="0"/>
      <w:marTop w:val="0"/>
      <w:marBottom w:val="0"/>
      <w:divBdr>
        <w:top w:val="none" w:sz="0" w:space="0" w:color="auto"/>
        <w:left w:val="none" w:sz="0" w:space="0" w:color="auto"/>
        <w:bottom w:val="none" w:sz="0" w:space="0" w:color="auto"/>
        <w:right w:val="none" w:sz="0" w:space="0" w:color="auto"/>
      </w:divBdr>
    </w:div>
    <w:div w:id="171646062">
      <w:bodyDiv w:val="1"/>
      <w:marLeft w:val="0"/>
      <w:marRight w:val="0"/>
      <w:marTop w:val="0"/>
      <w:marBottom w:val="0"/>
      <w:divBdr>
        <w:top w:val="none" w:sz="0" w:space="0" w:color="auto"/>
        <w:left w:val="none" w:sz="0" w:space="0" w:color="auto"/>
        <w:bottom w:val="none" w:sz="0" w:space="0" w:color="auto"/>
        <w:right w:val="none" w:sz="0" w:space="0" w:color="auto"/>
      </w:divBdr>
    </w:div>
    <w:div w:id="179701921">
      <w:bodyDiv w:val="1"/>
      <w:marLeft w:val="0"/>
      <w:marRight w:val="0"/>
      <w:marTop w:val="0"/>
      <w:marBottom w:val="0"/>
      <w:divBdr>
        <w:top w:val="none" w:sz="0" w:space="0" w:color="auto"/>
        <w:left w:val="none" w:sz="0" w:space="0" w:color="auto"/>
        <w:bottom w:val="none" w:sz="0" w:space="0" w:color="auto"/>
        <w:right w:val="none" w:sz="0" w:space="0" w:color="auto"/>
      </w:divBdr>
    </w:div>
    <w:div w:id="187568968">
      <w:bodyDiv w:val="1"/>
      <w:marLeft w:val="0"/>
      <w:marRight w:val="0"/>
      <w:marTop w:val="0"/>
      <w:marBottom w:val="0"/>
      <w:divBdr>
        <w:top w:val="none" w:sz="0" w:space="0" w:color="auto"/>
        <w:left w:val="none" w:sz="0" w:space="0" w:color="auto"/>
        <w:bottom w:val="none" w:sz="0" w:space="0" w:color="auto"/>
        <w:right w:val="none" w:sz="0" w:space="0" w:color="auto"/>
      </w:divBdr>
    </w:div>
    <w:div w:id="215629883">
      <w:bodyDiv w:val="1"/>
      <w:marLeft w:val="0"/>
      <w:marRight w:val="0"/>
      <w:marTop w:val="0"/>
      <w:marBottom w:val="0"/>
      <w:divBdr>
        <w:top w:val="none" w:sz="0" w:space="0" w:color="auto"/>
        <w:left w:val="none" w:sz="0" w:space="0" w:color="auto"/>
        <w:bottom w:val="none" w:sz="0" w:space="0" w:color="auto"/>
        <w:right w:val="none" w:sz="0" w:space="0" w:color="auto"/>
      </w:divBdr>
    </w:div>
    <w:div w:id="221907359">
      <w:bodyDiv w:val="1"/>
      <w:marLeft w:val="0"/>
      <w:marRight w:val="0"/>
      <w:marTop w:val="0"/>
      <w:marBottom w:val="0"/>
      <w:divBdr>
        <w:top w:val="none" w:sz="0" w:space="0" w:color="auto"/>
        <w:left w:val="none" w:sz="0" w:space="0" w:color="auto"/>
        <w:bottom w:val="none" w:sz="0" w:space="0" w:color="auto"/>
        <w:right w:val="none" w:sz="0" w:space="0" w:color="auto"/>
      </w:divBdr>
    </w:div>
    <w:div w:id="229771626">
      <w:bodyDiv w:val="1"/>
      <w:marLeft w:val="0"/>
      <w:marRight w:val="0"/>
      <w:marTop w:val="0"/>
      <w:marBottom w:val="0"/>
      <w:divBdr>
        <w:top w:val="none" w:sz="0" w:space="0" w:color="auto"/>
        <w:left w:val="none" w:sz="0" w:space="0" w:color="auto"/>
        <w:bottom w:val="none" w:sz="0" w:space="0" w:color="auto"/>
        <w:right w:val="none" w:sz="0" w:space="0" w:color="auto"/>
      </w:divBdr>
    </w:div>
    <w:div w:id="244346696">
      <w:bodyDiv w:val="1"/>
      <w:marLeft w:val="0"/>
      <w:marRight w:val="0"/>
      <w:marTop w:val="0"/>
      <w:marBottom w:val="0"/>
      <w:divBdr>
        <w:top w:val="none" w:sz="0" w:space="0" w:color="auto"/>
        <w:left w:val="none" w:sz="0" w:space="0" w:color="auto"/>
        <w:bottom w:val="none" w:sz="0" w:space="0" w:color="auto"/>
        <w:right w:val="none" w:sz="0" w:space="0" w:color="auto"/>
      </w:divBdr>
    </w:div>
    <w:div w:id="255943929">
      <w:bodyDiv w:val="1"/>
      <w:marLeft w:val="0"/>
      <w:marRight w:val="0"/>
      <w:marTop w:val="0"/>
      <w:marBottom w:val="0"/>
      <w:divBdr>
        <w:top w:val="none" w:sz="0" w:space="0" w:color="auto"/>
        <w:left w:val="none" w:sz="0" w:space="0" w:color="auto"/>
        <w:bottom w:val="none" w:sz="0" w:space="0" w:color="auto"/>
        <w:right w:val="none" w:sz="0" w:space="0" w:color="auto"/>
      </w:divBdr>
    </w:div>
    <w:div w:id="258563170">
      <w:bodyDiv w:val="1"/>
      <w:marLeft w:val="0"/>
      <w:marRight w:val="0"/>
      <w:marTop w:val="0"/>
      <w:marBottom w:val="0"/>
      <w:divBdr>
        <w:top w:val="none" w:sz="0" w:space="0" w:color="auto"/>
        <w:left w:val="none" w:sz="0" w:space="0" w:color="auto"/>
        <w:bottom w:val="none" w:sz="0" w:space="0" w:color="auto"/>
        <w:right w:val="none" w:sz="0" w:space="0" w:color="auto"/>
      </w:divBdr>
    </w:div>
    <w:div w:id="267663432">
      <w:bodyDiv w:val="1"/>
      <w:marLeft w:val="0"/>
      <w:marRight w:val="0"/>
      <w:marTop w:val="0"/>
      <w:marBottom w:val="0"/>
      <w:divBdr>
        <w:top w:val="none" w:sz="0" w:space="0" w:color="auto"/>
        <w:left w:val="none" w:sz="0" w:space="0" w:color="auto"/>
        <w:bottom w:val="none" w:sz="0" w:space="0" w:color="auto"/>
        <w:right w:val="none" w:sz="0" w:space="0" w:color="auto"/>
      </w:divBdr>
    </w:div>
    <w:div w:id="268895007">
      <w:bodyDiv w:val="1"/>
      <w:marLeft w:val="0"/>
      <w:marRight w:val="0"/>
      <w:marTop w:val="0"/>
      <w:marBottom w:val="0"/>
      <w:divBdr>
        <w:top w:val="none" w:sz="0" w:space="0" w:color="auto"/>
        <w:left w:val="none" w:sz="0" w:space="0" w:color="auto"/>
        <w:bottom w:val="none" w:sz="0" w:space="0" w:color="auto"/>
        <w:right w:val="none" w:sz="0" w:space="0" w:color="auto"/>
      </w:divBdr>
    </w:div>
    <w:div w:id="312224784">
      <w:bodyDiv w:val="1"/>
      <w:marLeft w:val="0"/>
      <w:marRight w:val="0"/>
      <w:marTop w:val="0"/>
      <w:marBottom w:val="0"/>
      <w:divBdr>
        <w:top w:val="none" w:sz="0" w:space="0" w:color="auto"/>
        <w:left w:val="none" w:sz="0" w:space="0" w:color="auto"/>
        <w:bottom w:val="none" w:sz="0" w:space="0" w:color="auto"/>
        <w:right w:val="none" w:sz="0" w:space="0" w:color="auto"/>
      </w:divBdr>
    </w:div>
    <w:div w:id="366217275">
      <w:bodyDiv w:val="1"/>
      <w:marLeft w:val="0"/>
      <w:marRight w:val="0"/>
      <w:marTop w:val="0"/>
      <w:marBottom w:val="0"/>
      <w:divBdr>
        <w:top w:val="none" w:sz="0" w:space="0" w:color="auto"/>
        <w:left w:val="none" w:sz="0" w:space="0" w:color="auto"/>
        <w:bottom w:val="none" w:sz="0" w:space="0" w:color="auto"/>
        <w:right w:val="none" w:sz="0" w:space="0" w:color="auto"/>
      </w:divBdr>
      <w:divsChild>
        <w:div w:id="1501778005">
          <w:marLeft w:val="403"/>
          <w:marRight w:val="0"/>
          <w:marTop w:val="0"/>
          <w:marBottom w:val="600"/>
          <w:divBdr>
            <w:top w:val="none" w:sz="0" w:space="0" w:color="auto"/>
            <w:left w:val="none" w:sz="0" w:space="0" w:color="auto"/>
            <w:bottom w:val="none" w:sz="0" w:space="0" w:color="auto"/>
            <w:right w:val="none" w:sz="0" w:space="0" w:color="auto"/>
          </w:divBdr>
        </w:div>
        <w:div w:id="1601798013">
          <w:marLeft w:val="403"/>
          <w:marRight w:val="0"/>
          <w:marTop w:val="0"/>
          <w:marBottom w:val="600"/>
          <w:divBdr>
            <w:top w:val="none" w:sz="0" w:space="0" w:color="auto"/>
            <w:left w:val="none" w:sz="0" w:space="0" w:color="auto"/>
            <w:bottom w:val="none" w:sz="0" w:space="0" w:color="auto"/>
            <w:right w:val="none" w:sz="0" w:space="0" w:color="auto"/>
          </w:divBdr>
        </w:div>
      </w:divsChild>
    </w:div>
    <w:div w:id="386799564">
      <w:bodyDiv w:val="1"/>
      <w:marLeft w:val="0"/>
      <w:marRight w:val="0"/>
      <w:marTop w:val="0"/>
      <w:marBottom w:val="0"/>
      <w:divBdr>
        <w:top w:val="none" w:sz="0" w:space="0" w:color="auto"/>
        <w:left w:val="none" w:sz="0" w:space="0" w:color="auto"/>
        <w:bottom w:val="none" w:sz="0" w:space="0" w:color="auto"/>
        <w:right w:val="none" w:sz="0" w:space="0" w:color="auto"/>
      </w:divBdr>
    </w:div>
    <w:div w:id="418870367">
      <w:bodyDiv w:val="1"/>
      <w:marLeft w:val="0"/>
      <w:marRight w:val="0"/>
      <w:marTop w:val="0"/>
      <w:marBottom w:val="0"/>
      <w:divBdr>
        <w:top w:val="none" w:sz="0" w:space="0" w:color="auto"/>
        <w:left w:val="none" w:sz="0" w:space="0" w:color="auto"/>
        <w:bottom w:val="none" w:sz="0" w:space="0" w:color="auto"/>
        <w:right w:val="none" w:sz="0" w:space="0" w:color="auto"/>
      </w:divBdr>
    </w:div>
    <w:div w:id="521166496">
      <w:bodyDiv w:val="1"/>
      <w:marLeft w:val="0"/>
      <w:marRight w:val="0"/>
      <w:marTop w:val="0"/>
      <w:marBottom w:val="0"/>
      <w:divBdr>
        <w:top w:val="none" w:sz="0" w:space="0" w:color="auto"/>
        <w:left w:val="none" w:sz="0" w:space="0" w:color="auto"/>
        <w:bottom w:val="none" w:sz="0" w:space="0" w:color="auto"/>
        <w:right w:val="none" w:sz="0" w:space="0" w:color="auto"/>
      </w:divBdr>
    </w:div>
    <w:div w:id="537820427">
      <w:bodyDiv w:val="1"/>
      <w:marLeft w:val="0"/>
      <w:marRight w:val="0"/>
      <w:marTop w:val="0"/>
      <w:marBottom w:val="0"/>
      <w:divBdr>
        <w:top w:val="none" w:sz="0" w:space="0" w:color="auto"/>
        <w:left w:val="none" w:sz="0" w:space="0" w:color="auto"/>
        <w:bottom w:val="none" w:sz="0" w:space="0" w:color="auto"/>
        <w:right w:val="none" w:sz="0" w:space="0" w:color="auto"/>
      </w:divBdr>
    </w:div>
    <w:div w:id="557740921">
      <w:bodyDiv w:val="1"/>
      <w:marLeft w:val="0"/>
      <w:marRight w:val="0"/>
      <w:marTop w:val="0"/>
      <w:marBottom w:val="0"/>
      <w:divBdr>
        <w:top w:val="none" w:sz="0" w:space="0" w:color="auto"/>
        <w:left w:val="none" w:sz="0" w:space="0" w:color="auto"/>
        <w:bottom w:val="none" w:sz="0" w:space="0" w:color="auto"/>
        <w:right w:val="none" w:sz="0" w:space="0" w:color="auto"/>
      </w:divBdr>
    </w:div>
    <w:div w:id="558787894">
      <w:bodyDiv w:val="1"/>
      <w:marLeft w:val="0"/>
      <w:marRight w:val="0"/>
      <w:marTop w:val="0"/>
      <w:marBottom w:val="0"/>
      <w:divBdr>
        <w:top w:val="none" w:sz="0" w:space="0" w:color="auto"/>
        <w:left w:val="none" w:sz="0" w:space="0" w:color="auto"/>
        <w:bottom w:val="none" w:sz="0" w:space="0" w:color="auto"/>
        <w:right w:val="none" w:sz="0" w:space="0" w:color="auto"/>
      </w:divBdr>
    </w:div>
    <w:div w:id="583271560">
      <w:bodyDiv w:val="1"/>
      <w:marLeft w:val="0"/>
      <w:marRight w:val="0"/>
      <w:marTop w:val="0"/>
      <w:marBottom w:val="0"/>
      <w:divBdr>
        <w:top w:val="none" w:sz="0" w:space="0" w:color="auto"/>
        <w:left w:val="none" w:sz="0" w:space="0" w:color="auto"/>
        <w:bottom w:val="none" w:sz="0" w:space="0" w:color="auto"/>
        <w:right w:val="none" w:sz="0" w:space="0" w:color="auto"/>
      </w:divBdr>
    </w:div>
    <w:div w:id="591822016">
      <w:bodyDiv w:val="1"/>
      <w:marLeft w:val="0"/>
      <w:marRight w:val="0"/>
      <w:marTop w:val="0"/>
      <w:marBottom w:val="0"/>
      <w:divBdr>
        <w:top w:val="none" w:sz="0" w:space="0" w:color="auto"/>
        <w:left w:val="none" w:sz="0" w:space="0" w:color="auto"/>
        <w:bottom w:val="none" w:sz="0" w:space="0" w:color="auto"/>
        <w:right w:val="none" w:sz="0" w:space="0" w:color="auto"/>
      </w:divBdr>
    </w:div>
    <w:div w:id="605696888">
      <w:bodyDiv w:val="1"/>
      <w:marLeft w:val="0"/>
      <w:marRight w:val="0"/>
      <w:marTop w:val="0"/>
      <w:marBottom w:val="0"/>
      <w:divBdr>
        <w:top w:val="none" w:sz="0" w:space="0" w:color="auto"/>
        <w:left w:val="none" w:sz="0" w:space="0" w:color="auto"/>
        <w:bottom w:val="none" w:sz="0" w:space="0" w:color="auto"/>
        <w:right w:val="none" w:sz="0" w:space="0" w:color="auto"/>
      </w:divBdr>
    </w:div>
    <w:div w:id="619993314">
      <w:bodyDiv w:val="1"/>
      <w:marLeft w:val="0"/>
      <w:marRight w:val="0"/>
      <w:marTop w:val="0"/>
      <w:marBottom w:val="0"/>
      <w:divBdr>
        <w:top w:val="none" w:sz="0" w:space="0" w:color="auto"/>
        <w:left w:val="none" w:sz="0" w:space="0" w:color="auto"/>
        <w:bottom w:val="none" w:sz="0" w:space="0" w:color="auto"/>
        <w:right w:val="none" w:sz="0" w:space="0" w:color="auto"/>
      </w:divBdr>
    </w:div>
    <w:div w:id="639502608">
      <w:bodyDiv w:val="1"/>
      <w:marLeft w:val="0"/>
      <w:marRight w:val="0"/>
      <w:marTop w:val="0"/>
      <w:marBottom w:val="0"/>
      <w:divBdr>
        <w:top w:val="none" w:sz="0" w:space="0" w:color="auto"/>
        <w:left w:val="none" w:sz="0" w:space="0" w:color="auto"/>
        <w:bottom w:val="none" w:sz="0" w:space="0" w:color="auto"/>
        <w:right w:val="none" w:sz="0" w:space="0" w:color="auto"/>
      </w:divBdr>
    </w:div>
    <w:div w:id="651372566">
      <w:bodyDiv w:val="1"/>
      <w:marLeft w:val="0"/>
      <w:marRight w:val="0"/>
      <w:marTop w:val="0"/>
      <w:marBottom w:val="0"/>
      <w:divBdr>
        <w:top w:val="none" w:sz="0" w:space="0" w:color="auto"/>
        <w:left w:val="none" w:sz="0" w:space="0" w:color="auto"/>
        <w:bottom w:val="none" w:sz="0" w:space="0" w:color="auto"/>
        <w:right w:val="none" w:sz="0" w:space="0" w:color="auto"/>
      </w:divBdr>
    </w:div>
    <w:div w:id="687681127">
      <w:bodyDiv w:val="1"/>
      <w:marLeft w:val="0"/>
      <w:marRight w:val="0"/>
      <w:marTop w:val="0"/>
      <w:marBottom w:val="0"/>
      <w:divBdr>
        <w:top w:val="none" w:sz="0" w:space="0" w:color="auto"/>
        <w:left w:val="none" w:sz="0" w:space="0" w:color="auto"/>
        <w:bottom w:val="none" w:sz="0" w:space="0" w:color="auto"/>
        <w:right w:val="none" w:sz="0" w:space="0" w:color="auto"/>
      </w:divBdr>
    </w:div>
    <w:div w:id="699670088">
      <w:bodyDiv w:val="1"/>
      <w:marLeft w:val="0"/>
      <w:marRight w:val="0"/>
      <w:marTop w:val="0"/>
      <w:marBottom w:val="0"/>
      <w:divBdr>
        <w:top w:val="none" w:sz="0" w:space="0" w:color="auto"/>
        <w:left w:val="none" w:sz="0" w:space="0" w:color="auto"/>
        <w:bottom w:val="none" w:sz="0" w:space="0" w:color="auto"/>
        <w:right w:val="none" w:sz="0" w:space="0" w:color="auto"/>
      </w:divBdr>
    </w:div>
    <w:div w:id="703411117">
      <w:bodyDiv w:val="1"/>
      <w:marLeft w:val="0"/>
      <w:marRight w:val="0"/>
      <w:marTop w:val="0"/>
      <w:marBottom w:val="0"/>
      <w:divBdr>
        <w:top w:val="none" w:sz="0" w:space="0" w:color="auto"/>
        <w:left w:val="none" w:sz="0" w:space="0" w:color="auto"/>
        <w:bottom w:val="none" w:sz="0" w:space="0" w:color="auto"/>
        <w:right w:val="none" w:sz="0" w:space="0" w:color="auto"/>
      </w:divBdr>
    </w:div>
    <w:div w:id="710499977">
      <w:bodyDiv w:val="1"/>
      <w:marLeft w:val="0"/>
      <w:marRight w:val="0"/>
      <w:marTop w:val="0"/>
      <w:marBottom w:val="0"/>
      <w:divBdr>
        <w:top w:val="none" w:sz="0" w:space="0" w:color="auto"/>
        <w:left w:val="none" w:sz="0" w:space="0" w:color="auto"/>
        <w:bottom w:val="none" w:sz="0" w:space="0" w:color="auto"/>
        <w:right w:val="none" w:sz="0" w:space="0" w:color="auto"/>
      </w:divBdr>
    </w:div>
    <w:div w:id="710544243">
      <w:bodyDiv w:val="1"/>
      <w:marLeft w:val="0"/>
      <w:marRight w:val="0"/>
      <w:marTop w:val="0"/>
      <w:marBottom w:val="0"/>
      <w:divBdr>
        <w:top w:val="none" w:sz="0" w:space="0" w:color="auto"/>
        <w:left w:val="none" w:sz="0" w:space="0" w:color="auto"/>
        <w:bottom w:val="none" w:sz="0" w:space="0" w:color="auto"/>
        <w:right w:val="none" w:sz="0" w:space="0" w:color="auto"/>
      </w:divBdr>
    </w:div>
    <w:div w:id="715664188">
      <w:bodyDiv w:val="1"/>
      <w:marLeft w:val="0"/>
      <w:marRight w:val="0"/>
      <w:marTop w:val="0"/>
      <w:marBottom w:val="0"/>
      <w:divBdr>
        <w:top w:val="none" w:sz="0" w:space="0" w:color="auto"/>
        <w:left w:val="none" w:sz="0" w:space="0" w:color="auto"/>
        <w:bottom w:val="none" w:sz="0" w:space="0" w:color="auto"/>
        <w:right w:val="none" w:sz="0" w:space="0" w:color="auto"/>
      </w:divBdr>
    </w:div>
    <w:div w:id="727730965">
      <w:bodyDiv w:val="1"/>
      <w:marLeft w:val="0"/>
      <w:marRight w:val="0"/>
      <w:marTop w:val="0"/>
      <w:marBottom w:val="0"/>
      <w:divBdr>
        <w:top w:val="none" w:sz="0" w:space="0" w:color="auto"/>
        <w:left w:val="none" w:sz="0" w:space="0" w:color="auto"/>
        <w:bottom w:val="none" w:sz="0" w:space="0" w:color="auto"/>
        <w:right w:val="none" w:sz="0" w:space="0" w:color="auto"/>
      </w:divBdr>
    </w:div>
    <w:div w:id="751270148">
      <w:bodyDiv w:val="1"/>
      <w:marLeft w:val="0"/>
      <w:marRight w:val="0"/>
      <w:marTop w:val="0"/>
      <w:marBottom w:val="0"/>
      <w:divBdr>
        <w:top w:val="none" w:sz="0" w:space="0" w:color="auto"/>
        <w:left w:val="none" w:sz="0" w:space="0" w:color="auto"/>
        <w:bottom w:val="none" w:sz="0" w:space="0" w:color="auto"/>
        <w:right w:val="none" w:sz="0" w:space="0" w:color="auto"/>
      </w:divBdr>
    </w:div>
    <w:div w:id="759523056">
      <w:bodyDiv w:val="1"/>
      <w:marLeft w:val="0"/>
      <w:marRight w:val="0"/>
      <w:marTop w:val="0"/>
      <w:marBottom w:val="0"/>
      <w:divBdr>
        <w:top w:val="none" w:sz="0" w:space="0" w:color="auto"/>
        <w:left w:val="none" w:sz="0" w:space="0" w:color="auto"/>
        <w:bottom w:val="none" w:sz="0" w:space="0" w:color="auto"/>
        <w:right w:val="none" w:sz="0" w:space="0" w:color="auto"/>
      </w:divBdr>
    </w:div>
    <w:div w:id="764153070">
      <w:bodyDiv w:val="1"/>
      <w:marLeft w:val="0"/>
      <w:marRight w:val="0"/>
      <w:marTop w:val="0"/>
      <w:marBottom w:val="0"/>
      <w:divBdr>
        <w:top w:val="none" w:sz="0" w:space="0" w:color="auto"/>
        <w:left w:val="none" w:sz="0" w:space="0" w:color="auto"/>
        <w:bottom w:val="none" w:sz="0" w:space="0" w:color="auto"/>
        <w:right w:val="none" w:sz="0" w:space="0" w:color="auto"/>
      </w:divBdr>
    </w:div>
    <w:div w:id="800466427">
      <w:bodyDiv w:val="1"/>
      <w:marLeft w:val="0"/>
      <w:marRight w:val="0"/>
      <w:marTop w:val="0"/>
      <w:marBottom w:val="0"/>
      <w:divBdr>
        <w:top w:val="none" w:sz="0" w:space="0" w:color="auto"/>
        <w:left w:val="none" w:sz="0" w:space="0" w:color="auto"/>
        <w:bottom w:val="none" w:sz="0" w:space="0" w:color="auto"/>
        <w:right w:val="none" w:sz="0" w:space="0" w:color="auto"/>
      </w:divBdr>
    </w:div>
    <w:div w:id="807625502">
      <w:bodyDiv w:val="1"/>
      <w:marLeft w:val="0"/>
      <w:marRight w:val="0"/>
      <w:marTop w:val="0"/>
      <w:marBottom w:val="0"/>
      <w:divBdr>
        <w:top w:val="none" w:sz="0" w:space="0" w:color="auto"/>
        <w:left w:val="none" w:sz="0" w:space="0" w:color="auto"/>
        <w:bottom w:val="none" w:sz="0" w:space="0" w:color="auto"/>
        <w:right w:val="none" w:sz="0" w:space="0" w:color="auto"/>
      </w:divBdr>
    </w:div>
    <w:div w:id="829441241">
      <w:bodyDiv w:val="1"/>
      <w:marLeft w:val="0"/>
      <w:marRight w:val="0"/>
      <w:marTop w:val="0"/>
      <w:marBottom w:val="0"/>
      <w:divBdr>
        <w:top w:val="none" w:sz="0" w:space="0" w:color="auto"/>
        <w:left w:val="none" w:sz="0" w:space="0" w:color="auto"/>
        <w:bottom w:val="none" w:sz="0" w:space="0" w:color="auto"/>
        <w:right w:val="none" w:sz="0" w:space="0" w:color="auto"/>
      </w:divBdr>
    </w:div>
    <w:div w:id="830170835">
      <w:bodyDiv w:val="1"/>
      <w:marLeft w:val="0"/>
      <w:marRight w:val="0"/>
      <w:marTop w:val="0"/>
      <w:marBottom w:val="0"/>
      <w:divBdr>
        <w:top w:val="none" w:sz="0" w:space="0" w:color="auto"/>
        <w:left w:val="none" w:sz="0" w:space="0" w:color="auto"/>
        <w:bottom w:val="none" w:sz="0" w:space="0" w:color="auto"/>
        <w:right w:val="none" w:sz="0" w:space="0" w:color="auto"/>
      </w:divBdr>
    </w:div>
    <w:div w:id="863714338">
      <w:bodyDiv w:val="1"/>
      <w:marLeft w:val="0"/>
      <w:marRight w:val="0"/>
      <w:marTop w:val="0"/>
      <w:marBottom w:val="0"/>
      <w:divBdr>
        <w:top w:val="none" w:sz="0" w:space="0" w:color="auto"/>
        <w:left w:val="none" w:sz="0" w:space="0" w:color="auto"/>
        <w:bottom w:val="none" w:sz="0" w:space="0" w:color="auto"/>
        <w:right w:val="none" w:sz="0" w:space="0" w:color="auto"/>
      </w:divBdr>
    </w:div>
    <w:div w:id="891962298">
      <w:bodyDiv w:val="1"/>
      <w:marLeft w:val="0"/>
      <w:marRight w:val="0"/>
      <w:marTop w:val="0"/>
      <w:marBottom w:val="0"/>
      <w:divBdr>
        <w:top w:val="none" w:sz="0" w:space="0" w:color="auto"/>
        <w:left w:val="none" w:sz="0" w:space="0" w:color="auto"/>
        <w:bottom w:val="none" w:sz="0" w:space="0" w:color="auto"/>
        <w:right w:val="none" w:sz="0" w:space="0" w:color="auto"/>
      </w:divBdr>
    </w:div>
    <w:div w:id="953905115">
      <w:bodyDiv w:val="1"/>
      <w:marLeft w:val="0"/>
      <w:marRight w:val="0"/>
      <w:marTop w:val="0"/>
      <w:marBottom w:val="0"/>
      <w:divBdr>
        <w:top w:val="none" w:sz="0" w:space="0" w:color="auto"/>
        <w:left w:val="none" w:sz="0" w:space="0" w:color="auto"/>
        <w:bottom w:val="none" w:sz="0" w:space="0" w:color="auto"/>
        <w:right w:val="none" w:sz="0" w:space="0" w:color="auto"/>
      </w:divBdr>
    </w:div>
    <w:div w:id="956183637">
      <w:bodyDiv w:val="1"/>
      <w:marLeft w:val="0"/>
      <w:marRight w:val="0"/>
      <w:marTop w:val="0"/>
      <w:marBottom w:val="0"/>
      <w:divBdr>
        <w:top w:val="none" w:sz="0" w:space="0" w:color="auto"/>
        <w:left w:val="none" w:sz="0" w:space="0" w:color="auto"/>
        <w:bottom w:val="none" w:sz="0" w:space="0" w:color="auto"/>
        <w:right w:val="none" w:sz="0" w:space="0" w:color="auto"/>
      </w:divBdr>
    </w:div>
    <w:div w:id="986130620">
      <w:bodyDiv w:val="1"/>
      <w:marLeft w:val="0"/>
      <w:marRight w:val="0"/>
      <w:marTop w:val="0"/>
      <w:marBottom w:val="0"/>
      <w:divBdr>
        <w:top w:val="none" w:sz="0" w:space="0" w:color="auto"/>
        <w:left w:val="none" w:sz="0" w:space="0" w:color="auto"/>
        <w:bottom w:val="none" w:sz="0" w:space="0" w:color="auto"/>
        <w:right w:val="none" w:sz="0" w:space="0" w:color="auto"/>
      </w:divBdr>
    </w:div>
    <w:div w:id="990520937">
      <w:bodyDiv w:val="1"/>
      <w:marLeft w:val="0"/>
      <w:marRight w:val="0"/>
      <w:marTop w:val="0"/>
      <w:marBottom w:val="0"/>
      <w:divBdr>
        <w:top w:val="none" w:sz="0" w:space="0" w:color="auto"/>
        <w:left w:val="none" w:sz="0" w:space="0" w:color="auto"/>
        <w:bottom w:val="none" w:sz="0" w:space="0" w:color="auto"/>
        <w:right w:val="none" w:sz="0" w:space="0" w:color="auto"/>
      </w:divBdr>
    </w:div>
    <w:div w:id="1034891929">
      <w:bodyDiv w:val="1"/>
      <w:marLeft w:val="0"/>
      <w:marRight w:val="0"/>
      <w:marTop w:val="0"/>
      <w:marBottom w:val="0"/>
      <w:divBdr>
        <w:top w:val="none" w:sz="0" w:space="0" w:color="auto"/>
        <w:left w:val="none" w:sz="0" w:space="0" w:color="auto"/>
        <w:bottom w:val="none" w:sz="0" w:space="0" w:color="auto"/>
        <w:right w:val="none" w:sz="0" w:space="0" w:color="auto"/>
      </w:divBdr>
    </w:div>
    <w:div w:id="1065686728">
      <w:bodyDiv w:val="1"/>
      <w:marLeft w:val="0"/>
      <w:marRight w:val="0"/>
      <w:marTop w:val="0"/>
      <w:marBottom w:val="0"/>
      <w:divBdr>
        <w:top w:val="none" w:sz="0" w:space="0" w:color="auto"/>
        <w:left w:val="none" w:sz="0" w:space="0" w:color="auto"/>
        <w:bottom w:val="none" w:sz="0" w:space="0" w:color="auto"/>
        <w:right w:val="none" w:sz="0" w:space="0" w:color="auto"/>
      </w:divBdr>
    </w:div>
    <w:div w:id="1081022586">
      <w:bodyDiv w:val="1"/>
      <w:marLeft w:val="0"/>
      <w:marRight w:val="0"/>
      <w:marTop w:val="0"/>
      <w:marBottom w:val="0"/>
      <w:divBdr>
        <w:top w:val="none" w:sz="0" w:space="0" w:color="auto"/>
        <w:left w:val="none" w:sz="0" w:space="0" w:color="auto"/>
        <w:bottom w:val="none" w:sz="0" w:space="0" w:color="auto"/>
        <w:right w:val="none" w:sz="0" w:space="0" w:color="auto"/>
      </w:divBdr>
    </w:div>
    <w:div w:id="1083599748">
      <w:bodyDiv w:val="1"/>
      <w:marLeft w:val="0"/>
      <w:marRight w:val="0"/>
      <w:marTop w:val="0"/>
      <w:marBottom w:val="0"/>
      <w:divBdr>
        <w:top w:val="none" w:sz="0" w:space="0" w:color="auto"/>
        <w:left w:val="none" w:sz="0" w:space="0" w:color="auto"/>
        <w:bottom w:val="none" w:sz="0" w:space="0" w:color="auto"/>
        <w:right w:val="none" w:sz="0" w:space="0" w:color="auto"/>
      </w:divBdr>
    </w:div>
    <w:div w:id="1099789902">
      <w:bodyDiv w:val="1"/>
      <w:marLeft w:val="0"/>
      <w:marRight w:val="0"/>
      <w:marTop w:val="0"/>
      <w:marBottom w:val="0"/>
      <w:divBdr>
        <w:top w:val="none" w:sz="0" w:space="0" w:color="auto"/>
        <w:left w:val="none" w:sz="0" w:space="0" w:color="auto"/>
        <w:bottom w:val="none" w:sz="0" w:space="0" w:color="auto"/>
        <w:right w:val="none" w:sz="0" w:space="0" w:color="auto"/>
      </w:divBdr>
    </w:div>
    <w:div w:id="1149176978">
      <w:bodyDiv w:val="1"/>
      <w:marLeft w:val="0"/>
      <w:marRight w:val="0"/>
      <w:marTop w:val="0"/>
      <w:marBottom w:val="0"/>
      <w:divBdr>
        <w:top w:val="none" w:sz="0" w:space="0" w:color="auto"/>
        <w:left w:val="none" w:sz="0" w:space="0" w:color="auto"/>
        <w:bottom w:val="none" w:sz="0" w:space="0" w:color="auto"/>
        <w:right w:val="none" w:sz="0" w:space="0" w:color="auto"/>
      </w:divBdr>
    </w:div>
    <w:div w:id="1158811533">
      <w:bodyDiv w:val="1"/>
      <w:marLeft w:val="0"/>
      <w:marRight w:val="0"/>
      <w:marTop w:val="0"/>
      <w:marBottom w:val="0"/>
      <w:divBdr>
        <w:top w:val="none" w:sz="0" w:space="0" w:color="auto"/>
        <w:left w:val="none" w:sz="0" w:space="0" w:color="auto"/>
        <w:bottom w:val="none" w:sz="0" w:space="0" w:color="auto"/>
        <w:right w:val="none" w:sz="0" w:space="0" w:color="auto"/>
      </w:divBdr>
    </w:div>
    <w:div w:id="1179076232">
      <w:bodyDiv w:val="1"/>
      <w:marLeft w:val="0"/>
      <w:marRight w:val="0"/>
      <w:marTop w:val="0"/>
      <w:marBottom w:val="0"/>
      <w:divBdr>
        <w:top w:val="none" w:sz="0" w:space="0" w:color="auto"/>
        <w:left w:val="none" w:sz="0" w:space="0" w:color="auto"/>
        <w:bottom w:val="none" w:sz="0" w:space="0" w:color="auto"/>
        <w:right w:val="none" w:sz="0" w:space="0" w:color="auto"/>
      </w:divBdr>
    </w:div>
    <w:div w:id="1212501232">
      <w:bodyDiv w:val="1"/>
      <w:marLeft w:val="0"/>
      <w:marRight w:val="0"/>
      <w:marTop w:val="0"/>
      <w:marBottom w:val="0"/>
      <w:divBdr>
        <w:top w:val="none" w:sz="0" w:space="0" w:color="auto"/>
        <w:left w:val="none" w:sz="0" w:space="0" w:color="auto"/>
        <w:bottom w:val="none" w:sz="0" w:space="0" w:color="auto"/>
        <w:right w:val="none" w:sz="0" w:space="0" w:color="auto"/>
      </w:divBdr>
    </w:div>
    <w:div w:id="1224635017">
      <w:bodyDiv w:val="1"/>
      <w:marLeft w:val="0"/>
      <w:marRight w:val="0"/>
      <w:marTop w:val="0"/>
      <w:marBottom w:val="0"/>
      <w:divBdr>
        <w:top w:val="none" w:sz="0" w:space="0" w:color="auto"/>
        <w:left w:val="none" w:sz="0" w:space="0" w:color="auto"/>
        <w:bottom w:val="none" w:sz="0" w:space="0" w:color="auto"/>
        <w:right w:val="none" w:sz="0" w:space="0" w:color="auto"/>
      </w:divBdr>
    </w:div>
    <w:div w:id="1226527531">
      <w:bodyDiv w:val="1"/>
      <w:marLeft w:val="0"/>
      <w:marRight w:val="0"/>
      <w:marTop w:val="0"/>
      <w:marBottom w:val="0"/>
      <w:divBdr>
        <w:top w:val="none" w:sz="0" w:space="0" w:color="auto"/>
        <w:left w:val="none" w:sz="0" w:space="0" w:color="auto"/>
        <w:bottom w:val="none" w:sz="0" w:space="0" w:color="auto"/>
        <w:right w:val="none" w:sz="0" w:space="0" w:color="auto"/>
      </w:divBdr>
    </w:div>
    <w:div w:id="1244148740">
      <w:bodyDiv w:val="1"/>
      <w:marLeft w:val="0"/>
      <w:marRight w:val="0"/>
      <w:marTop w:val="0"/>
      <w:marBottom w:val="0"/>
      <w:divBdr>
        <w:top w:val="none" w:sz="0" w:space="0" w:color="auto"/>
        <w:left w:val="none" w:sz="0" w:space="0" w:color="auto"/>
        <w:bottom w:val="none" w:sz="0" w:space="0" w:color="auto"/>
        <w:right w:val="none" w:sz="0" w:space="0" w:color="auto"/>
      </w:divBdr>
    </w:div>
    <w:div w:id="1287203384">
      <w:bodyDiv w:val="1"/>
      <w:marLeft w:val="0"/>
      <w:marRight w:val="0"/>
      <w:marTop w:val="0"/>
      <w:marBottom w:val="0"/>
      <w:divBdr>
        <w:top w:val="none" w:sz="0" w:space="0" w:color="auto"/>
        <w:left w:val="none" w:sz="0" w:space="0" w:color="auto"/>
        <w:bottom w:val="none" w:sz="0" w:space="0" w:color="auto"/>
        <w:right w:val="none" w:sz="0" w:space="0" w:color="auto"/>
      </w:divBdr>
    </w:div>
    <w:div w:id="1307778963">
      <w:bodyDiv w:val="1"/>
      <w:marLeft w:val="0"/>
      <w:marRight w:val="0"/>
      <w:marTop w:val="0"/>
      <w:marBottom w:val="0"/>
      <w:divBdr>
        <w:top w:val="none" w:sz="0" w:space="0" w:color="auto"/>
        <w:left w:val="none" w:sz="0" w:space="0" w:color="auto"/>
        <w:bottom w:val="none" w:sz="0" w:space="0" w:color="auto"/>
        <w:right w:val="none" w:sz="0" w:space="0" w:color="auto"/>
      </w:divBdr>
    </w:div>
    <w:div w:id="1322076413">
      <w:bodyDiv w:val="1"/>
      <w:marLeft w:val="0"/>
      <w:marRight w:val="0"/>
      <w:marTop w:val="0"/>
      <w:marBottom w:val="0"/>
      <w:divBdr>
        <w:top w:val="none" w:sz="0" w:space="0" w:color="auto"/>
        <w:left w:val="none" w:sz="0" w:space="0" w:color="auto"/>
        <w:bottom w:val="none" w:sz="0" w:space="0" w:color="auto"/>
        <w:right w:val="none" w:sz="0" w:space="0" w:color="auto"/>
      </w:divBdr>
    </w:div>
    <w:div w:id="1370954867">
      <w:bodyDiv w:val="1"/>
      <w:marLeft w:val="0"/>
      <w:marRight w:val="0"/>
      <w:marTop w:val="0"/>
      <w:marBottom w:val="0"/>
      <w:divBdr>
        <w:top w:val="none" w:sz="0" w:space="0" w:color="auto"/>
        <w:left w:val="none" w:sz="0" w:space="0" w:color="auto"/>
        <w:bottom w:val="none" w:sz="0" w:space="0" w:color="auto"/>
        <w:right w:val="none" w:sz="0" w:space="0" w:color="auto"/>
      </w:divBdr>
    </w:div>
    <w:div w:id="1384911624">
      <w:bodyDiv w:val="1"/>
      <w:marLeft w:val="0"/>
      <w:marRight w:val="0"/>
      <w:marTop w:val="0"/>
      <w:marBottom w:val="0"/>
      <w:divBdr>
        <w:top w:val="none" w:sz="0" w:space="0" w:color="auto"/>
        <w:left w:val="none" w:sz="0" w:space="0" w:color="auto"/>
        <w:bottom w:val="none" w:sz="0" w:space="0" w:color="auto"/>
        <w:right w:val="none" w:sz="0" w:space="0" w:color="auto"/>
      </w:divBdr>
    </w:div>
    <w:div w:id="1385252726">
      <w:bodyDiv w:val="1"/>
      <w:marLeft w:val="0"/>
      <w:marRight w:val="0"/>
      <w:marTop w:val="0"/>
      <w:marBottom w:val="0"/>
      <w:divBdr>
        <w:top w:val="none" w:sz="0" w:space="0" w:color="auto"/>
        <w:left w:val="none" w:sz="0" w:space="0" w:color="auto"/>
        <w:bottom w:val="none" w:sz="0" w:space="0" w:color="auto"/>
        <w:right w:val="none" w:sz="0" w:space="0" w:color="auto"/>
      </w:divBdr>
    </w:div>
    <w:div w:id="1386947499">
      <w:bodyDiv w:val="1"/>
      <w:marLeft w:val="0"/>
      <w:marRight w:val="0"/>
      <w:marTop w:val="0"/>
      <w:marBottom w:val="0"/>
      <w:divBdr>
        <w:top w:val="none" w:sz="0" w:space="0" w:color="auto"/>
        <w:left w:val="none" w:sz="0" w:space="0" w:color="auto"/>
        <w:bottom w:val="none" w:sz="0" w:space="0" w:color="auto"/>
        <w:right w:val="none" w:sz="0" w:space="0" w:color="auto"/>
      </w:divBdr>
    </w:div>
    <w:div w:id="1415542481">
      <w:bodyDiv w:val="1"/>
      <w:marLeft w:val="0"/>
      <w:marRight w:val="0"/>
      <w:marTop w:val="0"/>
      <w:marBottom w:val="0"/>
      <w:divBdr>
        <w:top w:val="none" w:sz="0" w:space="0" w:color="auto"/>
        <w:left w:val="none" w:sz="0" w:space="0" w:color="auto"/>
        <w:bottom w:val="none" w:sz="0" w:space="0" w:color="auto"/>
        <w:right w:val="none" w:sz="0" w:space="0" w:color="auto"/>
      </w:divBdr>
    </w:div>
    <w:div w:id="1448083793">
      <w:bodyDiv w:val="1"/>
      <w:marLeft w:val="0"/>
      <w:marRight w:val="0"/>
      <w:marTop w:val="0"/>
      <w:marBottom w:val="0"/>
      <w:divBdr>
        <w:top w:val="none" w:sz="0" w:space="0" w:color="auto"/>
        <w:left w:val="none" w:sz="0" w:space="0" w:color="auto"/>
        <w:bottom w:val="none" w:sz="0" w:space="0" w:color="auto"/>
        <w:right w:val="none" w:sz="0" w:space="0" w:color="auto"/>
      </w:divBdr>
    </w:div>
    <w:div w:id="1448887291">
      <w:bodyDiv w:val="1"/>
      <w:marLeft w:val="0"/>
      <w:marRight w:val="0"/>
      <w:marTop w:val="0"/>
      <w:marBottom w:val="0"/>
      <w:divBdr>
        <w:top w:val="none" w:sz="0" w:space="0" w:color="auto"/>
        <w:left w:val="none" w:sz="0" w:space="0" w:color="auto"/>
        <w:bottom w:val="none" w:sz="0" w:space="0" w:color="auto"/>
        <w:right w:val="none" w:sz="0" w:space="0" w:color="auto"/>
      </w:divBdr>
    </w:div>
    <w:div w:id="1473475711">
      <w:bodyDiv w:val="1"/>
      <w:marLeft w:val="0"/>
      <w:marRight w:val="0"/>
      <w:marTop w:val="0"/>
      <w:marBottom w:val="0"/>
      <w:divBdr>
        <w:top w:val="none" w:sz="0" w:space="0" w:color="auto"/>
        <w:left w:val="none" w:sz="0" w:space="0" w:color="auto"/>
        <w:bottom w:val="none" w:sz="0" w:space="0" w:color="auto"/>
        <w:right w:val="none" w:sz="0" w:space="0" w:color="auto"/>
      </w:divBdr>
    </w:div>
    <w:div w:id="1502888552">
      <w:bodyDiv w:val="1"/>
      <w:marLeft w:val="0"/>
      <w:marRight w:val="0"/>
      <w:marTop w:val="0"/>
      <w:marBottom w:val="0"/>
      <w:divBdr>
        <w:top w:val="none" w:sz="0" w:space="0" w:color="auto"/>
        <w:left w:val="none" w:sz="0" w:space="0" w:color="auto"/>
        <w:bottom w:val="none" w:sz="0" w:space="0" w:color="auto"/>
        <w:right w:val="none" w:sz="0" w:space="0" w:color="auto"/>
      </w:divBdr>
    </w:div>
    <w:div w:id="1553423292">
      <w:bodyDiv w:val="1"/>
      <w:marLeft w:val="0"/>
      <w:marRight w:val="0"/>
      <w:marTop w:val="0"/>
      <w:marBottom w:val="0"/>
      <w:divBdr>
        <w:top w:val="none" w:sz="0" w:space="0" w:color="auto"/>
        <w:left w:val="none" w:sz="0" w:space="0" w:color="auto"/>
        <w:bottom w:val="none" w:sz="0" w:space="0" w:color="auto"/>
        <w:right w:val="none" w:sz="0" w:space="0" w:color="auto"/>
      </w:divBdr>
    </w:div>
    <w:div w:id="1577129353">
      <w:bodyDiv w:val="1"/>
      <w:marLeft w:val="0"/>
      <w:marRight w:val="0"/>
      <w:marTop w:val="0"/>
      <w:marBottom w:val="0"/>
      <w:divBdr>
        <w:top w:val="none" w:sz="0" w:space="0" w:color="auto"/>
        <w:left w:val="none" w:sz="0" w:space="0" w:color="auto"/>
        <w:bottom w:val="none" w:sz="0" w:space="0" w:color="auto"/>
        <w:right w:val="none" w:sz="0" w:space="0" w:color="auto"/>
      </w:divBdr>
    </w:div>
    <w:div w:id="1652901161">
      <w:bodyDiv w:val="1"/>
      <w:marLeft w:val="0"/>
      <w:marRight w:val="0"/>
      <w:marTop w:val="0"/>
      <w:marBottom w:val="0"/>
      <w:divBdr>
        <w:top w:val="none" w:sz="0" w:space="0" w:color="auto"/>
        <w:left w:val="none" w:sz="0" w:space="0" w:color="auto"/>
        <w:bottom w:val="none" w:sz="0" w:space="0" w:color="auto"/>
        <w:right w:val="none" w:sz="0" w:space="0" w:color="auto"/>
      </w:divBdr>
    </w:div>
    <w:div w:id="1658143625">
      <w:bodyDiv w:val="1"/>
      <w:marLeft w:val="0"/>
      <w:marRight w:val="0"/>
      <w:marTop w:val="0"/>
      <w:marBottom w:val="0"/>
      <w:divBdr>
        <w:top w:val="none" w:sz="0" w:space="0" w:color="auto"/>
        <w:left w:val="none" w:sz="0" w:space="0" w:color="auto"/>
        <w:bottom w:val="none" w:sz="0" w:space="0" w:color="auto"/>
        <w:right w:val="none" w:sz="0" w:space="0" w:color="auto"/>
      </w:divBdr>
    </w:div>
    <w:div w:id="1658805833">
      <w:bodyDiv w:val="1"/>
      <w:marLeft w:val="0"/>
      <w:marRight w:val="0"/>
      <w:marTop w:val="0"/>
      <w:marBottom w:val="0"/>
      <w:divBdr>
        <w:top w:val="none" w:sz="0" w:space="0" w:color="auto"/>
        <w:left w:val="none" w:sz="0" w:space="0" w:color="auto"/>
        <w:bottom w:val="none" w:sz="0" w:space="0" w:color="auto"/>
        <w:right w:val="none" w:sz="0" w:space="0" w:color="auto"/>
      </w:divBdr>
    </w:div>
    <w:div w:id="1668089277">
      <w:bodyDiv w:val="1"/>
      <w:marLeft w:val="0"/>
      <w:marRight w:val="0"/>
      <w:marTop w:val="0"/>
      <w:marBottom w:val="0"/>
      <w:divBdr>
        <w:top w:val="none" w:sz="0" w:space="0" w:color="auto"/>
        <w:left w:val="none" w:sz="0" w:space="0" w:color="auto"/>
        <w:bottom w:val="none" w:sz="0" w:space="0" w:color="auto"/>
        <w:right w:val="none" w:sz="0" w:space="0" w:color="auto"/>
      </w:divBdr>
    </w:div>
    <w:div w:id="1711879632">
      <w:bodyDiv w:val="1"/>
      <w:marLeft w:val="0"/>
      <w:marRight w:val="0"/>
      <w:marTop w:val="0"/>
      <w:marBottom w:val="0"/>
      <w:divBdr>
        <w:top w:val="none" w:sz="0" w:space="0" w:color="auto"/>
        <w:left w:val="none" w:sz="0" w:space="0" w:color="auto"/>
        <w:bottom w:val="none" w:sz="0" w:space="0" w:color="auto"/>
        <w:right w:val="none" w:sz="0" w:space="0" w:color="auto"/>
      </w:divBdr>
    </w:div>
    <w:div w:id="1712150306">
      <w:bodyDiv w:val="1"/>
      <w:marLeft w:val="0"/>
      <w:marRight w:val="0"/>
      <w:marTop w:val="0"/>
      <w:marBottom w:val="0"/>
      <w:divBdr>
        <w:top w:val="none" w:sz="0" w:space="0" w:color="auto"/>
        <w:left w:val="none" w:sz="0" w:space="0" w:color="auto"/>
        <w:bottom w:val="none" w:sz="0" w:space="0" w:color="auto"/>
        <w:right w:val="none" w:sz="0" w:space="0" w:color="auto"/>
      </w:divBdr>
    </w:div>
    <w:div w:id="1714960457">
      <w:bodyDiv w:val="1"/>
      <w:marLeft w:val="0"/>
      <w:marRight w:val="0"/>
      <w:marTop w:val="0"/>
      <w:marBottom w:val="0"/>
      <w:divBdr>
        <w:top w:val="none" w:sz="0" w:space="0" w:color="auto"/>
        <w:left w:val="none" w:sz="0" w:space="0" w:color="auto"/>
        <w:bottom w:val="none" w:sz="0" w:space="0" w:color="auto"/>
        <w:right w:val="none" w:sz="0" w:space="0" w:color="auto"/>
      </w:divBdr>
      <w:divsChild>
        <w:div w:id="764958885">
          <w:marLeft w:val="1512"/>
          <w:marRight w:val="0"/>
          <w:marTop w:val="110"/>
          <w:marBottom w:val="0"/>
          <w:divBdr>
            <w:top w:val="none" w:sz="0" w:space="0" w:color="auto"/>
            <w:left w:val="none" w:sz="0" w:space="0" w:color="auto"/>
            <w:bottom w:val="none" w:sz="0" w:space="0" w:color="auto"/>
            <w:right w:val="none" w:sz="0" w:space="0" w:color="auto"/>
          </w:divBdr>
        </w:div>
      </w:divsChild>
    </w:div>
    <w:div w:id="1731228448">
      <w:bodyDiv w:val="1"/>
      <w:marLeft w:val="0"/>
      <w:marRight w:val="0"/>
      <w:marTop w:val="0"/>
      <w:marBottom w:val="0"/>
      <w:divBdr>
        <w:top w:val="none" w:sz="0" w:space="0" w:color="auto"/>
        <w:left w:val="none" w:sz="0" w:space="0" w:color="auto"/>
        <w:bottom w:val="none" w:sz="0" w:space="0" w:color="auto"/>
        <w:right w:val="none" w:sz="0" w:space="0" w:color="auto"/>
      </w:divBdr>
    </w:div>
    <w:div w:id="1737169718">
      <w:bodyDiv w:val="1"/>
      <w:marLeft w:val="0"/>
      <w:marRight w:val="0"/>
      <w:marTop w:val="0"/>
      <w:marBottom w:val="0"/>
      <w:divBdr>
        <w:top w:val="none" w:sz="0" w:space="0" w:color="auto"/>
        <w:left w:val="none" w:sz="0" w:space="0" w:color="auto"/>
        <w:bottom w:val="none" w:sz="0" w:space="0" w:color="auto"/>
        <w:right w:val="none" w:sz="0" w:space="0" w:color="auto"/>
      </w:divBdr>
    </w:div>
    <w:div w:id="1787849312">
      <w:bodyDiv w:val="1"/>
      <w:marLeft w:val="0"/>
      <w:marRight w:val="0"/>
      <w:marTop w:val="0"/>
      <w:marBottom w:val="0"/>
      <w:divBdr>
        <w:top w:val="none" w:sz="0" w:space="0" w:color="auto"/>
        <w:left w:val="none" w:sz="0" w:space="0" w:color="auto"/>
        <w:bottom w:val="none" w:sz="0" w:space="0" w:color="auto"/>
        <w:right w:val="none" w:sz="0" w:space="0" w:color="auto"/>
      </w:divBdr>
    </w:div>
    <w:div w:id="1794204589">
      <w:bodyDiv w:val="1"/>
      <w:marLeft w:val="0"/>
      <w:marRight w:val="0"/>
      <w:marTop w:val="0"/>
      <w:marBottom w:val="0"/>
      <w:divBdr>
        <w:top w:val="none" w:sz="0" w:space="0" w:color="auto"/>
        <w:left w:val="none" w:sz="0" w:space="0" w:color="auto"/>
        <w:bottom w:val="none" w:sz="0" w:space="0" w:color="auto"/>
        <w:right w:val="none" w:sz="0" w:space="0" w:color="auto"/>
      </w:divBdr>
    </w:div>
    <w:div w:id="1801144691">
      <w:bodyDiv w:val="1"/>
      <w:marLeft w:val="0"/>
      <w:marRight w:val="0"/>
      <w:marTop w:val="0"/>
      <w:marBottom w:val="0"/>
      <w:divBdr>
        <w:top w:val="none" w:sz="0" w:space="0" w:color="auto"/>
        <w:left w:val="none" w:sz="0" w:space="0" w:color="auto"/>
        <w:bottom w:val="none" w:sz="0" w:space="0" w:color="auto"/>
        <w:right w:val="none" w:sz="0" w:space="0" w:color="auto"/>
      </w:divBdr>
    </w:div>
    <w:div w:id="1814788682">
      <w:bodyDiv w:val="1"/>
      <w:marLeft w:val="0"/>
      <w:marRight w:val="0"/>
      <w:marTop w:val="0"/>
      <w:marBottom w:val="0"/>
      <w:divBdr>
        <w:top w:val="none" w:sz="0" w:space="0" w:color="auto"/>
        <w:left w:val="none" w:sz="0" w:space="0" w:color="auto"/>
        <w:bottom w:val="none" w:sz="0" w:space="0" w:color="auto"/>
        <w:right w:val="none" w:sz="0" w:space="0" w:color="auto"/>
      </w:divBdr>
    </w:div>
    <w:div w:id="1833255856">
      <w:bodyDiv w:val="1"/>
      <w:marLeft w:val="0"/>
      <w:marRight w:val="0"/>
      <w:marTop w:val="0"/>
      <w:marBottom w:val="0"/>
      <w:divBdr>
        <w:top w:val="none" w:sz="0" w:space="0" w:color="auto"/>
        <w:left w:val="none" w:sz="0" w:space="0" w:color="auto"/>
        <w:bottom w:val="none" w:sz="0" w:space="0" w:color="auto"/>
        <w:right w:val="none" w:sz="0" w:space="0" w:color="auto"/>
      </w:divBdr>
    </w:div>
    <w:div w:id="1837378085">
      <w:bodyDiv w:val="1"/>
      <w:marLeft w:val="0"/>
      <w:marRight w:val="0"/>
      <w:marTop w:val="0"/>
      <w:marBottom w:val="0"/>
      <w:divBdr>
        <w:top w:val="none" w:sz="0" w:space="0" w:color="auto"/>
        <w:left w:val="none" w:sz="0" w:space="0" w:color="auto"/>
        <w:bottom w:val="none" w:sz="0" w:space="0" w:color="auto"/>
        <w:right w:val="none" w:sz="0" w:space="0" w:color="auto"/>
      </w:divBdr>
    </w:div>
    <w:div w:id="1870289351">
      <w:bodyDiv w:val="1"/>
      <w:marLeft w:val="0"/>
      <w:marRight w:val="0"/>
      <w:marTop w:val="0"/>
      <w:marBottom w:val="0"/>
      <w:divBdr>
        <w:top w:val="none" w:sz="0" w:space="0" w:color="auto"/>
        <w:left w:val="none" w:sz="0" w:space="0" w:color="auto"/>
        <w:bottom w:val="none" w:sz="0" w:space="0" w:color="auto"/>
        <w:right w:val="none" w:sz="0" w:space="0" w:color="auto"/>
      </w:divBdr>
    </w:div>
    <w:div w:id="1896745218">
      <w:bodyDiv w:val="1"/>
      <w:marLeft w:val="0"/>
      <w:marRight w:val="0"/>
      <w:marTop w:val="0"/>
      <w:marBottom w:val="0"/>
      <w:divBdr>
        <w:top w:val="none" w:sz="0" w:space="0" w:color="auto"/>
        <w:left w:val="none" w:sz="0" w:space="0" w:color="auto"/>
        <w:bottom w:val="none" w:sz="0" w:space="0" w:color="auto"/>
        <w:right w:val="none" w:sz="0" w:space="0" w:color="auto"/>
      </w:divBdr>
    </w:div>
    <w:div w:id="1962686946">
      <w:bodyDiv w:val="1"/>
      <w:marLeft w:val="0"/>
      <w:marRight w:val="0"/>
      <w:marTop w:val="0"/>
      <w:marBottom w:val="0"/>
      <w:divBdr>
        <w:top w:val="none" w:sz="0" w:space="0" w:color="auto"/>
        <w:left w:val="none" w:sz="0" w:space="0" w:color="auto"/>
        <w:bottom w:val="none" w:sz="0" w:space="0" w:color="auto"/>
        <w:right w:val="none" w:sz="0" w:space="0" w:color="auto"/>
      </w:divBdr>
    </w:div>
    <w:div w:id="1980957020">
      <w:bodyDiv w:val="1"/>
      <w:marLeft w:val="0"/>
      <w:marRight w:val="0"/>
      <w:marTop w:val="0"/>
      <w:marBottom w:val="0"/>
      <w:divBdr>
        <w:top w:val="none" w:sz="0" w:space="0" w:color="auto"/>
        <w:left w:val="none" w:sz="0" w:space="0" w:color="auto"/>
        <w:bottom w:val="none" w:sz="0" w:space="0" w:color="auto"/>
        <w:right w:val="none" w:sz="0" w:space="0" w:color="auto"/>
      </w:divBdr>
    </w:div>
    <w:div w:id="1991716557">
      <w:bodyDiv w:val="1"/>
      <w:marLeft w:val="0"/>
      <w:marRight w:val="0"/>
      <w:marTop w:val="0"/>
      <w:marBottom w:val="0"/>
      <w:divBdr>
        <w:top w:val="none" w:sz="0" w:space="0" w:color="auto"/>
        <w:left w:val="none" w:sz="0" w:space="0" w:color="auto"/>
        <w:bottom w:val="none" w:sz="0" w:space="0" w:color="auto"/>
        <w:right w:val="none" w:sz="0" w:space="0" w:color="auto"/>
      </w:divBdr>
    </w:div>
    <w:div w:id="1999189123">
      <w:bodyDiv w:val="1"/>
      <w:marLeft w:val="0"/>
      <w:marRight w:val="0"/>
      <w:marTop w:val="0"/>
      <w:marBottom w:val="0"/>
      <w:divBdr>
        <w:top w:val="none" w:sz="0" w:space="0" w:color="auto"/>
        <w:left w:val="none" w:sz="0" w:space="0" w:color="auto"/>
        <w:bottom w:val="none" w:sz="0" w:space="0" w:color="auto"/>
        <w:right w:val="none" w:sz="0" w:space="0" w:color="auto"/>
      </w:divBdr>
    </w:div>
    <w:div w:id="2037074381">
      <w:bodyDiv w:val="1"/>
      <w:marLeft w:val="0"/>
      <w:marRight w:val="0"/>
      <w:marTop w:val="0"/>
      <w:marBottom w:val="0"/>
      <w:divBdr>
        <w:top w:val="none" w:sz="0" w:space="0" w:color="auto"/>
        <w:left w:val="none" w:sz="0" w:space="0" w:color="auto"/>
        <w:bottom w:val="none" w:sz="0" w:space="0" w:color="auto"/>
        <w:right w:val="none" w:sz="0" w:space="0" w:color="auto"/>
      </w:divBdr>
    </w:div>
    <w:div w:id="2043554345">
      <w:bodyDiv w:val="1"/>
      <w:marLeft w:val="0"/>
      <w:marRight w:val="0"/>
      <w:marTop w:val="0"/>
      <w:marBottom w:val="0"/>
      <w:divBdr>
        <w:top w:val="none" w:sz="0" w:space="0" w:color="auto"/>
        <w:left w:val="none" w:sz="0" w:space="0" w:color="auto"/>
        <w:bottom w:val="none" w:sz="0" w:space="0" w:color="auto"/>
        <w:right w:val="none" w:sz="0" w:space="0" w:color="auto"/>
      </w:divBdr>
    </w:div>
    <w:div w:id="2045594141">
      <w:bodyDiv w:val="1"/>
      <w:marLeft w:val="0"/>
      <w:marRight w:val="0"/>
      <w:marTop w:val="0"/>
      <w:marBottom w:val="0"/>
      <w:divBdr>
        <w:top w:val="none" w:sz="0" w:space="0" w:color="auto"/>
        <w:left w:val="none" w:sz="0" w:space="0" w:color="auto"/>
        <w:bottom w:val="none" w:sz="0" w:space="0" w:color="auto"/>
        <w:right w:val="none" w:sz="0" w:space="0" w:color="auto"/>
      </w:divBdr>
    </w:div>
    <w:div w:id="2107260886">
      <w:bodyDiv w:val="1"/>
      <w:marLeft w:val="0"/>
      <w:marRight w:val="0"/>
      <w:marTop w:val="0"/>
      <w:marBottom w:val="0"/>
      <w:divBdr>
        <w:top w:val="none" w:sz="0" w:space="0" w:color="auto"/>
        <w:left w:val="none" w:sz="0" w:space="0" w:color="auto"/>
        <w:bottom w:val="none" w:sz="0" w:space="0" w:color="auto"/>
        <w:right w:val="none" w:sz="0" w:space="0" w:color="auto"/>
      </w:divBdr>
    </w:div>
    <w:div w:id="21395209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hrq.gov/sites/default/files/wysiwyg/hai/tools/mrsa/159-which-type-decolonization-work-best.docx" TargetMode="External"/><Relationship Id="rId18" Type="http://schemas.openxmlformats.org/officeDocument/2006/relationships/hyperlink" Target="https://www.ahrq.gov/hai/tools/mrsa-prevention/toolkit/welcome.html" TargetMode="External"/><Relationship Id="rId26" Type="http://schemas.openxmlformats.org/officeDocument/2006/relationships/hyperlink" Target="https://www.cdc.gov/infectioncontrol/guidelines/index.html" TargetMode="External"/><Relationship Id="rId3" Type="http://schemas.openxmlformats.org/officeDocument/2006/relationships/customXml" Target="../customXml/item3.xml"/><Relationship Id="rId21" Type="http://schemas.openxmlformats.org/officeDocument/2006/relationships/hyperlink" Target="http://www.ahrq.gov/hai/tools/mrsa-prevention/toolkit/cusp-approach.html"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ahrq.gov/hai/tools/mrsa-prevention/toolkit/decolonize-patients.html" TargetMode="External"/><Relationship Id="rId17" Type="http://schemas.openxmlformats.org/officeDocument/2006/relationships/hyperlink" Target="https://shea-online.org/compendium-of-strategies-to-prevent-healthcare-associated-infections-in-acute-care-hospitals/" TargetMode="External"/><Relationship Id="rId25" Type="http://schemas.openxmlformats.org/officeDocument/2006/relationships/hyperlink" Target="https://stacks.cdc.gov/view/cdc/11550"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shea-online.org/guidance/" TargetMode="External"/><Relationship Id="rId20" Type="http://schemas.openxmlformats.org/officeDocument/2006/relationships/hyperlink" Target="http://www.ahrq.gov/hai/tools/mrsa-prevention/toolkit/decolonize-patients.html" TargetMode="External"/><Relationship Id="rId29" Type="http://schemas.openxmlformats.org/officeDocument/2006/relationships/hyperlink" Target="https://www.ahrq.gov/hai/universal-icu-decolonization/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hrq.gov/hai/tools/mrsa-prevention/toolkit/decolonize-patients.html" TargetMode="External"/><Relationship Id="rId24" Type="http://schemas.openxmlformats.org/officeDocument/2006/relationships/hyperlink" Target="http://www.cdc.gov/nhsn/pdfs/pscmanual/4psc_clabscurrent.pdf" TargetMode="External"/><Relationship Id="rId32" Type="http://schemas.openxmlformats.org/officeDocument/2006/relationships/hyperlink" Target="https://www.ahrq.gov/hai/tools/abate/index.html"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dc.gov/infectioncontrol/guidelines/index.html" TargetMode="External"/><Relationship Id="rId23" Type="http://schemas.openxmlformats.org/officeDocument/2006/relationships/hyperlink" Target="https://www.cdc.gov/nhsn/psc/bsi/index.html" TargetMode="External"/><Relationship Id="rId28" Type="http://schemas.openxmlformats.org/officeDocument/2006/relationships/hyperlink" Target="https://shea-online.org/compendium-of-strategies-to-prevent-healthcare-associated-infections-in-acute-care-hospitals/"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ahrq.gov/hai/tools/mrsa-prevention/toolkit/decolonize-patients.html" TargetMode="External"/><Relationship Id="rId31" Type="http://schemas.openxmlformats.org/officeDocument/2006/relationships/hyperlink" Target="https://www.ahrq.gov/hai/universal-icu-decolonization/inde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hrq.gov/hai/tools/mrsa-prevention/toolkit/decolonize-patients.html" TargetMode="External"/><Relationship Id="rId22" Type="http://schemas.openxmlformats.org/officeDocument/2006/relationships/hyperlink" Target="http://www.ahrq.gov/hai/tools/mrsa-prevention/toolkit/integrate-cusp-approach.html" TargetMode="External"/><Relationship Id="rId27" Type="http://schemas.openxmlformats.org/officeDocument/2006/relationships/hyperlink" Target="https://shea-online.org/guidance/" TargetMode="External"/><Relationship Id="rId30" Type="http://schemas.openxmlformats.org/officeDocument/2006/relationships/hyperlink" Target="https://www.ahrq.gov/hai/tools/abate/index.html" TargetMode="External"/><Relationship Id="rId35"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HRQ MRSA">
      <a:dk1>
        <a:sysClr val="windowText" lastClr="000000"/>
      </a:dk1>
      <a:lt1>
        <a:sysClr val="window" lastClr="FFFFFF"/>
      </a:lt1>
      <a:dk2>
        <a:srgbClr val="757575"/>
      </a:dk2>
      <a:lt2>
        <a:srgbClr val="E7E6E6"/>
      </a:lt2>
      <a:accent1>
        <a:srgbClr val="007DA3"/>
      </a:accent1>
      <a:accent2>
        <a:srgbClr val="FAD701"/>
      </a:accent2>
      <a:accent3>
        <a:srgbClr val="FCF1DD"/>
      </a:accent3>
      <a:accent4>
        <a:srgbClr val="F48154"/>
      </a:accent4>
      <a:accent5>
        <a:srgbClr val="086354"/>
      </a:accent5>
      <a:accent6>
        <a:srgbClr val="E7E6E6"/>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DC06F82F74DC74D9A1715CAE0E542E2" ma:contentTypeVersion="19" ma:contentTypeDescription="Create a new document." ma:contentTypeScope="" ma:versionID="ea688116fddf7b245117d92d05ae5e4d">
  <xsd:schema xmlns:xsd="http://www.w3.org/2001/XMLSchema" xmlns:xs="http://www.w3.org/2001/XMLSchema" xmlns:p="http://schemas.microsoft.com/office/2006/metadata/properties" xmlns:ns2="931aec66-2863-455c-9bb0-8c99df0ac3fd" xmlns:ns3="5d14f105-b512-4c58-b648-3bdda2cf581d" targetNamespace="http://schemas.microsoft.com/office/2006/metadata/properties" ma:root="true" ma:fieldsID="fc552a7a5e8fce2989eb33daf794b994" ns2:_="" ns3:_="">
    <xsd:import namespace="931aec66-2863-455c-9bb0-8c99df0ac3fd"/>
    <xsd:import namespace="5d14f105-b512-4c58-b648-3bdda2cf58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ResidentBathingPreferencesandSkinassessment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aec66-2863-455c-9bb0-8c99df0a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ResidentBathingPreferencesandSkinassessments" ma:index="23" nillable="true" ma:displayName="Resident Bathing Preferences and Skin assessments" ma:format="Dropdown" ma:internalName="ResidentBathingPreferencesandSkinassessments">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4f105-b512-4c58-b648-3bdda2cf581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4233f0f-6bd0-4026-a550-8b5d019f9378}" ma:internalName="TaxCatchAll" ma:showField="CatchAllData" ma:web="5d14f105-b512-4c58-b648-3bdda2cf58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5d14f105-b512-4c58-b648-3bdda2cf581d">
      <UserInfo>
        <DisplayName>ahn-roy</DisplayName>
        <AccountId>104</AccountId>
        <AccountType/>
      </UserInfo>
      <UserInfo>
        <DisplayName>Prashila Dullabh</DisplayName>
        <AccountId>105</AccountId>
        <AccountType/>
      </UserInfo>
      <UserInfo>
        <DisplayName>Kathleen Speck</DisplayName>
        <AccountId>11</AccountId>
        <AccountType/>
      </UserInfo>
      <UserInfo>
        <DisplayName>Clare Rock</DisplayName>
        <AccountId>101</AccountId>
        <AccountType/>
      </UserInfo>
      <UserInfo>
        <DisplayName>Samuel Kim</DisplayName>
        <AccountId>12</AccountId>
        <AccountType/>
      </UserInfo>
      <UserInfo>
        <DisplayName>Alejandra Salinas</DisplayName>
        <AccountId>112</AccountId>
        <AccountType/>
      </UserInfo>
      <UserInfo>
        <DisplayName>Aki Suzuki</DisplayName>
        <AccountId>113</AccountId>
        <AccountType/>
      </UserInfo>
      <UserInfo>
        <DisplayName>Abigail Vorsteg</DisplayName>
        <AccountId>114</AccountId>
        <AccountType/>
      </UserInfo>
      <UserInfo>
        <DisplayName>Morgan Katz</DisplayName>
        <AccountId>31</AccountId>
        <AccountType/>
      </UserInfo>
      <UserInfo>
        <DisplayName>Heather Saunders</DisplayName>
        <AccountId>59</AccountId>
        <AccountType/>
      </UserInfo>
      <UserInfo>
        <DisplayName>Valeria Fabre</DisplayName>
        <AccountId>56</AccountId>
        <AccountType/>
      </UserInfo>
      <UserInfo>
        <DisplayName>Meghan Walrath</DisplayName>
        <AccountId>49</AccountId>
        <AccountType/>
      </UserInfo>
      <UserInfo>
        <DisplayName>Caylin Andrews</DisplayName>
        <AccountId>120</AccountId>
        <AccountType/>
      </UserInfo>
    </SharedWithUsers>
    <MediaLengthInSeconds xmlns="931aec66-2863-455c-9bb0-8c99df0ac3fd" xsi:nil="true"/>
    <TaxCatchAll xmlns="5d14f105-b512-4c58-b648-3bdda2cf581d" xsi:nil="true"/>
    <lcf76f155ced4ddcb4097134ff3c332f xmlns="931aec66-2863-455c-9bb0-8c99df0ac3fd">
      <Terms xmlns="http://schemas.microsoft.com/office/infopath/2007/PartnerControls"/>
    </lcf76f155ced4ddcb4097134ff3c332f>
    <ResidentBathingPreferencesandSkinassessments xmlns="931aec66-2863-455c-9bb0-8c99df0ac3fd" xsi:nil="true"/>
  </documentManagement>
</p:properties>
</file>

<file path=customXml/itemProps1.xml><?xml version="1.0" encoding="utf-8"?>
<ds:datastoreItem xmlns:ds="http://schemas.openxmlformats.org/officeDocument/2006/customXml" ds:itemID="{C10329E1-EDCF-439A-8C26-321777ED8565}">
  <ds:schemaRefs>
    <ds:schemaRef ds:uri="http://schemas.openxmlformats.org/officeDocument/2006/bibliography"/>
  </ds:schemaRefs>
</ds:datastoreItem>
</file>

<file path=customXml/itemProps2.xml><?xml version="1.0" encoding="utf-8"?>
<ds:datastoreItem xmlns:ds="http://schemas.openxmlformats.org/officeDocument/2006/customXml" ds:itemID="{85307EF4-5A01-42A0-8FF3-34962B5CFCDD}">
  <ds:schemaRefs>
    <ds:schemaRef ds:uri="http://schemas.microsoft.com/sharepoint/v3/contenttype/forms"/>
  </ds:schemaRefs>
</ds:datastoreItem>
</file>

<file path=customXml/itemProps3.xml><?xml version="1.0" encoding="utf-8"?>
<ds:datastoreItem xmlns:ds="http://schemas.openxmlformats.org/officeDocument/2006/customXml" ds:itemID="{5C56DA54-F906-4C06-830D-81FCB74B75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aec66-2863-455c-9bb0-8c99df0ac3fd"/>
    <ds:schemaRef ds:uri="5d14f105-b512-4c58-b648-3bdda2cf5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F85230-F463-4716-939A-C5296EA864CE}">
  <ds:schemaRefs>
    <ds:schemaRef ds:uri="http://schemas.microsoft.com/office/2006/metadata/properties"/>
    <ds:schemaRef ds:uri="http://schemas.microsoft.com/office/infopath/2007/PartnerControls"/>
    <ds:schemaRef ds:uri="5d14f105-b512-4c58-b648-3bdda2cf581d"/>
    <ds:schemaRef ds:uri="931aec66-2863-455c-9bb0-8c99df0ac3fd"/>
  </ds:schemaRefs>
</ds:datastoreItem>
</file>

<file path=docProps/app.xml><?xml version="1.0" encoding="utf-8"?>
<Properties xmlns="http://schemas.openxmlformats.org/officeDocument/2006/extended-properties" xmlns:vt="http://schemas.openxmlformats.org/officeDocument/2006/docPropsVTypes">
  <Template>Normal</Template>
  <TotalTime>2576</TotalTime>
  <Pages>12</Pages>
  <Words>5404</Words>
  <Characters>30806</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36138</CharactersWithSpaces>
  <SharedDoc>false</SharedDoc>
  <HLinks>
    <vt:vector size="66" baseType="variant">
      <vt:variant>
        <vt:i4>65623</vt:i4>
      </vt:variant>
      <vt:variant>
        <vt:i4>27</vt:i4>
      </vt:variant>
      <vt:variant>
        <vt:i4>0</vt:i4>
      </vt:variant>
      <vt:variant>
        <vt:i4>5</vt:i4>
      </vt:variant>
      <vt:variant>
        <vt:lpwstr>https://shea-online.org/compendium-of-strategies-to-prevent-healthcare-associated-infections-in-acute-care-hospitals/</vt:lpwstr>
      </vt:variant>
      <vt:variant>
        <vt:lpwstr/>
      </vt:variant>
      <vt:variant>
        <vt:i4>1835037</vt:i4>
      </vt:variant>
      <vt:variant>
        <vt:i4>24</vt:i4>
      </vt:variant>
      <vt:variant>
        <vt:i4>0</vt:i4>
      </vt:variant>
      <vt:variant>
        <vt:i4>5</vt:i4>
      </vt:variant>
      <vt:variant>
        <vt:lpwstr>https://shea-online.org/guidance/</vt:lpwstr>
      </vt:variant>
      <vt:variant>
        <vt:lpwstr/>
      </vt:variant>
      <vt:variant>
        <vt:i4>3407985</vt:i4>
      </vt:variant>
      <vt:variant>
        <vt:i4>21</vt:i4>
      </vt:variant>
      <vt:variant>
        <vt:i4>0</vt:i4>
      </vt:variant>
      <vt:variant>
        <vt:i4>5</vt:i4>
      </vt:variant>
      <vt:variant>
        <vt:lpwstr>https://www.cdc.gov/infectioncontrol/guidelines/index.html</vt:lpwstr>
      </vt:variant>
      <vt:variant>
        <vt:lpwstr/>
      </vt:variant>
      <vt:variant>
        <vt:i4>1507335</vt:i4>
      </vt:variant>
      <vt:variant>
        <vt:i4>18</vt:i4>
      </vt:variant>
      <vt:variant>
        <vt:i4>0</vt:i4>
      </vt:variant>
      <vt:variant>
        <vt:i4>5</vt:i4>
      </vt:variant>
      <vt:variant>
        <vt:lpwstr>https://stacks.cdc.gov/view/cdc/11550</vt:lpwstr>
      </vt:variant>
      <vt:variant>
        <vt:lpwstr/>
      </vt:variant>
      <vt:variant>
        <vt:i4>7602202</vt:i4>
      </vt:variant>
      <vt:variant>
        <vt:i4>15</vt:i4>
      </vt:variant>
      <vt:variant>
        <vt:i4>0</vt:i4>
      </vt:variant>
      <vt:variant>
        <vt:i4>5</vt:i4>
      </vt:variant>
      <vt:variant>
        <vt:lpwstr>http://www.cdc.gov/nhsn/pdfs/pscmanual/4psc_clabscurrent.pdf</vt:lpwstr>
      </vt:variant>
      <vt:variant>
        <vt:lpwstr/>
      </vt:variant>
      <vt:variant>
        <vt:i4>2883634</vt:i4>
      </vt:variant>
      <vt:variant>
        <vt:i4>12</vt:i4>
      </vt:variant>
      <vt:variant>
        <vt:i4>0</vt:i4>
      </vt:variant>
      <vt:variant>
        <vt:i4>5</vt:i4>
      </vt:variant>
      <vt:variant>
        <vt:lpwstr>https://www.cdc.gov/nhsn/psc/bsi/index.html</vt:lpwstr>
      </vt:variant>
      <vt:variant>
        <vt:lpwstr/>
      </vt:variant>
      <vt:variant>
        <vt:i4>65623</vt:i4>
      </vt:variant>
      <vt:variant>
        <vt:i4>6</vt:i4>
      </vt:variant>
      <vt:variant>
        <vt:i4>0</vt:i4>
      </vt:variant>
      <vt:variant>
        <vt:i4>5</vt:i4>
      </vt:variant>
      <vt:variant>
        <vt:lpwstr>https://shea-online.org/compendium-of-strategies-to-prevent-healthcare-associated-infections-in-acute-care-hospitals/</vt:lpwstr>
      </vt:variant>
      <vt:variant>
        <vt:lpwstr/>
      </vt:variant>
      <vt:variant>
        <vt:i4>1835037</vt:i4>
      </vt:variant>
      <vt:variant>
        <vt:i4>3</vt:i4>
      </vt:variant>
      <vt:variant>
        <vt:i4>0</vt:i4>
      </vt:variant>
      <vt:variant>
        <vt:i4>5</vt:i4>
      </vt:variant>
      <vt:variant>
        <vt:lpwstr>https://shea-online.org/guidance/</vt:lpwstr>
      </vt:variant>
      <vt:variant>
        <vt:lpwstr/>
      </vt:variant>
      <vt:variant>
        <vt:i4>3407985</vt:i4>
      </vt:variant>
      <vt:variant>
        <vt:i4>0</vt:i4>
      </vt:variant>
      <vt:variant>
        <vt:i4>0</vt:i4>
      </vt:variant>
      <vt:variant>
        <vt:i4>5</vt:i4>
      </vt:variant>
      <vt:variant>
        <vt:lpwstr>https://www.cdc.gov/infectioncontrol/guidelines/index.html</vt:lpwstr>
      </vt:variant>
      <vt:variant>
        <vt:lpwstr/>
      </vt:variant>
      <vt:variant>
        <vt:i4>3932215</vt:i4>
      </vt:variant>
      <vt:variant>
        <vt:i4>3</vt:i4>
      </vt:variant>
      <vt:variant>
        <vt:i4>0</vt:i4>
      </vt:variant>
      <vt:variant>
        <vt:i4>5</vt:i4>
      </vt:variant>
      <vt:variant>
        <vt:lpwstr>https://www.ahrq.gov/hai/tools/abate/index.html</vt:lpwstr>
      </vt:variant>
      <vt:variant>
        <vt:lpwstr/>
      </vt:variant>
      <vt:variant>
        <vt:i4>5046273</vt:i4>
      </vt:variant>
      <vt:variant>
        <vt:i4>0</vt:i4>
      </vt:variant>
      <vt:variant>
        <vt:i4>0</vt:i4>
      </vt:variant>
      <vt:variant>
        <vt:i4>5</vt:i4>
      </vt:variant>
      <vt:variant>
        <vt:lpwstr>https://www.ahrq.gov/hai/universal-icu-decolonization/index.html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Agency for Healthcare Research &amp; Quality</dc:creator>
  <cp:keywords/>
  <dc:description/>
  <cp:lastModifiedBy>Heidenrich, Christine (AHRQ/OC) (CTR)</cp:lastModifiedBy>
  <cp:revision>737</cp:revision>
  <cp:lastPrinted>2024-06-14T17:41:00Z</cp:lastPrinted>
  <dcterms:created xsi:type="dcterms:W3CDTF">2024-04-02T22:10:00Z</dcterms:created>
  <dcterms:modified xsi:type="dcterms:W3CDTF">2024-10-15T23:55:00Z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0x0101009DC06F82F74DC74D9A1715CAE0E542E2</vt:lpwstr>
  </property>
  <property fmtid="{D5CDD505-2E9C-101B-9397-08002B2CF9AE}" pid="3" name="Order">
    <vt:r8>1604500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TriggerFlowInfo">
    <vt:lpwstr/>
  </property>
</Properties>
</file>