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02B" w:rsidRPr="00366EEE" w:rsidRDefault="0055402B" w:rsidP="00221E2F">
      <w:pPr>
        <w:pStyle w:val="Heading1"/>
        <w:spacing w:before="240"/>
        <w:rPr>
          <w:sz w:val="26"/>
        </w:rPr>
      </w:pPr>
      <w:r w:rsidRPr="00366EEE">
        <w:t>Summary</w:t>
      </w:r>
    </w:p>
    <w:p w:rsidR="0055402B" w:rsidRPr="00366EEE" w:rsidRDefault="0055402B" w:rsidP="0055402B">
      <w:r w:rsidRPr="00366EEE">
        <w:t>Spontaneous awakening trials (SAT) and spontaneous breathing trials (SBT) reduce the length of mechanical ventilation, thereby reducing the risk for developing ventilator-associated pneumonia (VAP). Since the guidelines were written in 2007, a groundbreaking article by Girard in 2008</w:t>
      </w:r>
      <w:r w:rsidRPr="00366EEE">
        <w:fldChar w:fldCharType="begin"/>
      </w:r>
      <w:r w:rsidRPr="00366EEE">
        <w:instrText>ADDIN RW.CITE{{33 Girard,T.D. 2008}}</w:instrText>
      </w:r>
      <w:r w:rsidRPr="00366EEE">
        <w:fldChar w:fldCharType="separate"/>
      </w:r>
      <w:r w:rsidRPr="00366EEE">
        <w:rPr>
          <w:vertAlign w:val="superscript"/>
        </w:rPr>
        <w:t>1</w:t>
      </w:r>
      <w:r w:rsidRPr="00366EEE">
        <w:fldChar w:fldCharType="end"/>
      </w:r>
      <w:r w:rsidR="00C02C50">
        <w:t xml:space="preserve"> </w:t>
      </w:r>
      <w:r w:rsidRPr="00366EEE">
        <w:t xml:space="preserve">showed that SAT and SBT protocols result in faster extubation time and earlier discharge date. </w:t>
      </w:r>
      <w:r w:rsidR="00C02C50">
        <w:t xml:space="preserve"> </w:t>
      </w:r>
      <w:r w:rsidRPr="00366EEE">
        <w:t xml:space="preserve">Most recently in 2012, a review article focusing on the findings of 14 studies recommended that weaning should be considered as early as possible, </w:t>
      </w:r>
      <w:r w:rsidR="00C02C50">
        <w:t>and most importantly, that protocols for weaning from sedation and from ventilation should be paired in order to optimize outcomes</w:t>
      </w:r>
      <w:r w:rsidR="00221E2F">
        <w:t xml:space="preserve"> </w:t>
      </w:r>
      <w:r w:rsidRPr="00366EEE">
        <w:t>(Luetz, 2012).</w:t>
      </w:r>
      <w:r w:rsidRPr="00366EEE">
        <w:fldChar w:fldCharType="begin"/>
      </w:r>
      <w:r w:rsidRPr="00366EEE">
        <w:instrText>ADDIN RW.CITE{{374 Luetz, A. 2012}}</w:instrText>
      </w:r>
      <w:r w:rsidRPr="00366EEE">
        <w:fldChar w:fldCharType="separate"/>
      </w:r>
      <w:r w:rsidRPr="00366EEE">
        <w:rPr>
          <w:vertAlign w:val="superscript"/>
        </w:rPr>
        <w:t>2</w:t>
      </w:r>
      <w:r w:rsidRPr="00366EEE">
        <w:fldChar w:fldCharType="end"/>
      </w:r>
      <w:r w:rsidRPr="00366EEE">
        <w:t xml:space="preserve"> In 2013, Mehta et al</w:t>
      </w:r>
      <w:r w:rsidRPr="00366EEE">
        <w:fldChar w:fldCharType="begin"/>
      </w:r>
      <w:r w:rsidRPr="00366EEE">
        <w:instrText>ADDIN RW.CITE{{907 Mehta,S. 2012}}</w:instrText>
      </w:r>
      <w:r w:rsidRPr="00366EEE">
        <w:fldChar w:fldCharType="separate"/>
      </w:r>
      <w:r w:rsidRPr="00366EEE">
        <w:rPr>
          <w:vertAlign w:val="superscript"/>
        </w:rPr>
        <w:t>3</w:t>
      </w:r>
      <w:r w:rsidRPr="00366EEE">
        <w:fldChar w:fldCharType="end"/>
      </w:r>
      <w:r w:rsidRPr="00366EEE">
        <w:t xml:space="preserve"> performed a randomized controlled trial to assess sedation with a protocol versus sedation with a protocol and a daily sedation vacation. The results did not support the use of an SAT, as there was no difference in time to extubation, the primary outcome. However, with the sedation vacation was a concomitant increase in the use of benzodiazepines.</w:t>
      </w:r>
    </w:p>
    <w:p w:rsidR="0055402B" w:rsidRPr="00366EEE" w:rsidRDefault="0055402B" w:rsidP="0055402B">
      <w:pPr>
        <w:rPr>
          <w:bCs/>
          <w:i/>
          <w:szCs w:val="24"/>
        </w:rPr>
      </w:pPr>
      <w:r w:rsidRPr="00366EEE">
        <w:rPr>
          <w:b/>
          <w:i/>
          <w:szCs w:val="24"/>
        </w:rPr>
        <w:t>Note</w:t>
      </w:r>
      <w:r w:rsidRPr="00366EEE">
        <w:rPr>
          <w:i/>
          <w:szCs w:val="24"/>
        </w:rPr>
        <w:t>: Literature supporting the guidelines is listed first, followed by reviews and meta-analyses and an annotated bibliography.</w:t>
      </w:r>
    </w:p>
    <w:p w:rsidR="0055402B" w:rsidRPr="00366EEE" w:rsidRDefault="0055402B" w:rsidP="008B2CC4">
      <w:pPr>
        <w:pStyle w:val="Heading2"/>
        <w:rPr>
          <w:kern w:val="28"/>
        </w:rPr>
      </w:pPr>
      <w:r w:rsidRPr="00366EEE">
        <w:t>Society for Healthcare Epidemiology of America</w:t>
      </w:r>
    </w:p>
    <w:p w:rsidR="0055402B" w:rsidRPr="00366EEE" w:rsidRDefault="0055402B" w:rsidP="0055402B">
      <w:pPr>
        <w:pStyle w:val="NoSpacing"/>
        <w:rPr>
          <w:i/>
          <w:szCs w:val="24"/>
        </w:rPr>
      </w:pPr>
      <w:r w:rsidRPr="00366EEE">
        <w:rPr>
          <w:i/>
          <w:szCs w:val="24"/>
        </w:rPr>
        <w:t>2014 – Strategies to prevent ventilator-associated pneumonia in acute care hospitals: 2014 update</w:t>
      </w:r>
      <w:r w:rsidRPr="00366EEE">
        <w:rPr>
          <w:i/>
          <w:szCs w:val="24"/>
        </w:rPr>
        <w:fldChar w:fldCharType="begin"/>
      </w:r>
      <w:r w:rsidRPr="00366EEE">
        <w:rPr>
          <w:i/>
          <w:szCs w:val="24"/>
        </w:rPr>
        <w:instrText>ADDIN RW.CITE{{1885 Klompas,M. 2014}}</w:instrText>
      </w:r>
      <w:r w:rsidRPr="00366EEE">
        <w:rPr>
          <w:i/>
          <w:szCs w:val="24"/>
        </w:rPr>
        <w:fldChar w:fldCharType="separate"/>
      </w:r>
      <w:r w:rsidRPr="00366EEE">
        <w:rPr>
          <w:vertAlign w:val="superscript"/>
        </w:rPr>
        <w:t>4</w:t>
      </w:r>
      <w:r w:rsidRPr="00366EEE">
        <w:rPr>
          <w:i/>
          <w:szCs w:val="24"/>
        </w:rPr>
        <w:fldChar w:fldCharType="end"/>
      </w:r>
    </w:p>
    <w:p w:rsidR="0055402B" w:rsidRPr="00366EEE" w:rsidRDefault="0055402B" w:rsidP="0055402B">
      <w:pPr>
        <w:widowControl w:val="0"/>
        <w:numPr>
          <w:ilvl w:val="0"/>
          <w:numId w:val="32"/>
        </w:numPr>
        <w:overflowPunct w:val="0"/>
        <w:adjustRightInd w:val="0"/>
        <w:spacing w:before="120"/>
        <w:ind w:left="720"/>
        <w:rPr>
          <w:rFonts w:cs="Times New Roman"/>
          <w:b/>
          <w:i/>
          <w:szCs w:val="24"/>
        </w:rPr>
      </w:pPr>
      <w:r w:rsidRPr="00366EEE">
        <w:rPr>
          <w:rFonts w:cs="Times New Roman"/>
          <w:b/>
          <w:i/>
          <w:szCs w:val="24"/>
        </w:rPr>
        <w:t>Recommends the interruption of sedation (SAT) and the assessment of readiness to extubate (SBT) once a day. The SAT and SBT should be paired.</w:t>
      </w:r>
    </w:p>
    <w:p w:rsidR="0055402B" w:rsidRPr="00366EEE" w:rsidRDefault="0055402B" w:rsidP="008B2CC4">
      <w:pPr>
        <w:pStyle w:val="Heading2"/>
        <w:rPr>
          <w:sz w:val="24"/>
        </w:rPr>
      </w:pPr>
      <w:r w:rsidRPr="00366EEE">
        <w:t>American Thoracic Society</w:t>
      </w:r>
    </w:p>
    <w:p w:rsidR="0055402B" w:rsidRPr="00366EEE" w:rsidRDefault="0055402B" w:rsidP="0055402B">
      <w:pPr>
        <w:pStyle w:val="NoSpacing"/>
        <w:spacing w:after="240"/>
        <w:rPr>
          <w:i/>
          <w:szCs w:val="24"/>
        </w:rPr>
      </w:pPr>
      <w:r w:rsidRPr="00366EEE">
        <w:rPr>
          <w:i/>
          <w:szCs w:val="24"/>
        </w:rPr>
        <w:t>2004 – Guidelines for the management of adults with hospital-acquired, ventilator-associated, and healthcare-associated pneumonia.</w:t>
      </w:r>
      <w:r w:rsidRPr="00366EEE">
        <w:rPr>
          <w:rFonts w:eastAsia="Times New Roman"/>
          <w:i/>
          <w:iCs/>
          <w:szCs w:val="24"/>
          <w:vertAlign w:val="superscript"/>
        </w:rPr>
        <w:fldChar w:fldCharType="begin"/>
      </w:r>
      <w:r w:rsidRPr="00366EEE">
        <w:rPr>
          <w:rFonts w:eastAsia="Times New Roman"/>
          <w:i/>
          <w:iCs/>
          <w:szCs w:val="24"/>
          <w:vertAlign w:val="superscript"/>
        </w:rPr>
        <w:instrText>ADDIN RW.CITE{{56 American Thoracic Society 2005}}</w:instrText>
      </w:r>
      <w:r w:rsidRPr="00366EEE">
        <w:rPr>
          <w:rFonts w:eastAsia="Times New Roman"/>
          <w:i/>
          <w:iCs/>
          <w:szCs w:val="24"/>
          <w:vertAlign w:val="superscript"/>
        </w:rPr>
        <w:fldChar w:fldCharType="separate"/>
      </w:r>
      <w:r w:rsidRPr="00366EEE">
        <w:rPr>
          <w:vertAlign w:val="superscript"/>
        </w:rPr>
        <w:t>5</w:t>
      </w:r>
      <w:r w:rsidRPr="00366EEE">
        <w:rPr>
          <w:rFonts w:eastAsia="Times New Roman"/>
          <w:i/>
          <w:iCs/>
          <w:szCs w:val="24"/>
          <w:vertAlign w:val="superscript"/>
        </w:rPr>
        <w:fldChar w:fldCharType="end"/>
      </w:r>
    </w:p>
    <w:p w:rsidR="0055402B" w:rsidRPr="00366EEE" w:rsidRDefault="0055402B" w:rsidP="0055402B">
      <w:pPr>
        <w:widowControl w:val="0"/>
        <w:numPr>
          <w:ilvl w:val="0"/>
          <w:numId w:val="32"/>
        </w:numPr>
        <w:overflowPunct w:val="0"/>
        <w:adjustRightInd w:val="0"/>
        <w:spacing w:after="0"/>
        <w:ind w:left="720"/>
        <w:rPr>
          <w:rFonts w:cs="Times New Roman"/>
          <w:b/>
          <w:i/>
          <w:szCs w:val="24"/>
        </w:rPr>
      </w:pPr>
      <w:r w:rsidRPr="00366EEE">
        <w:rPr>
          <w:rFonts w:cs="Times New Roman"/>
          <w:b/>
          <w:i/>
          <w:szCs w:val="24"/>
        </w:rPr>
        <w:t xml:space="preserve">Recommends use of daily interruption or lightening of sedation (SAT) to avoid constant heavy sedation and to facilitate and accelerate weaning. </w:t>
      </w:r>
    </w:p>
    <w:p w:rsidR="0055402B" w:rsidRPr="00366EEE" w:rsidRDefault="0055402B" w:rsidP="0055402B">
      <w:pPr>
        <w:widowControl w:val="0"/>
        <w:numPr>
          <w:ilvl w:val="0"/>
          <w:numId w:val="32"/>
        </w:numPr>
        <w:overflowPunct w:val="0"/>
        <w:adjustRightInd w:val="0"/>
        <w:spacing w:after="0"/>
        <w:ind w:left="720"/>
        <w:rPr>
          <w:rFonts w:cs="Times New Roman"/>
          <w:b/>
          <w:bCs/>
          <w:i/>
          <w:szCs w:val="24"/>
        </w:rPr>
      </w:pPr>
      <w:r w:rsidRPr="00366EEE">
        <w:rPr>
          <w:rFonts w:cs="Times New Roman"/>
          <w:b/>
          <w:i/>
          <w:szCs w:val="24"/>
        </w:rPr>
        <w:t xml:space="preserve">Does not address SBT. </w:t>
      </w:r>
    </w:p>
    <w:p w:rsidR="0055402B" w:rsidRPr="00366EEE" w:rsidRDefault="0055402B" w:rsidP="008B2CC4">
      <w:pPr>
        <w:pStyle w:val="Heading2"/>
        <w:rPr>
          <w:sz w:val="24"/>
        </w:rPr>
      </w:pPr>
      <w:r w:rsidRPr="00366EEE">
        <w:t>Centers for Disease Control and Prevention (CDC)</w:t>
      </w:r>
    </w:p>
    <w:p w:rsidR="0055402B" w:rsidRPr="00366EEE" w:rsidRDefault="0055402B" w:rsidP="0055402B">
      <w:pPr>
        <w:rPr>
          <w:i/>
          <w:iCs/>
          <w:szCs w:val="24"/>
        </w:rPr>
      </w:pPr>
      <w:r w:rsidRPr="00366EEE">
        <w:rPr>
          <w:i/>
          <w:szCs w:val="24"/>
        </w:rPr>
        <w:t>2003 – CDC Guidelines for Preventing Health-Care-Associated Pneumonia: Evidence-based, clinical practice guidelines for the prevention of healthcare-associated pneumonia, including VAP.</w:t>
      </w:r>
      <w:r w:rsidRPr="00366EEE">
        <w:rPr>
          <w:i/>
          <w:szCs w:val="24"/>
        </w:rPr>
        <w:fldChar w:fldCharType="begin"/>
      </w:r>
      <w:r w:rsidRPr="00366EEE">
        <w:rPr>
          <w:i/>
          <w:szCs w:val="24"/>
        </w:rPr>
        <w:instrText>ADDIN RW.CITE{{12 Tablan OC, Anderson LJ, Besser R, Bridges C, Hajjeh R 2004}}</w:instrText>
      </w:r>
      <w:r w:rsidRPr="00366EEE">
        <w:rPr>
          <w:i/>
          <w:szCs w:val="24"/>
        </w:rPr>
        <w:fldChar w:fldCharType="separate"/>
      </w:r>
      <w:r w:rsidRPr="00366EEE">
        <w:rPr>
          <w:vertAlign w:val="superscript"/>
        </w:rPr>
        <w:t>6</w:t>
      </w:r>
      <w:r w:rsidRPr="00366EEE">
        <w:rPr>
          <w:i/>
          <w:szCs w:val="24"/>
        </w:rPr>
        <w:fldChar w:fldCharType="end"/>
      </w:r>
    </w:p>
    <w:p w:rsidR="0055402B" w:rsidRPr="00B27FA5" w:rsidRDefault="0055402B" w:rsidP="00B27FA5">
      <w:pPr>
        <w:pStyle w:val="ListParagraph"/>
        <w:numPr>
          <w:ilvl w:val="0"/>
          <w:numId w:val="39"/>
        </w:numPr>
        <w:rPr>
          <w:rFonts w:eastAsia="TimesTen-Roman" w:cs="Times New Roman"/>
          <w:b/>
          <w:i/>
          <w:szCs w:val="24"/>
        </w:rPr>
      </w:pPr>
      <w:r w:rsidRPr="00B27FA5">
        <w:rPr>
          <w:rFonts w:eastAsia="TimesTen-Roman" w:cs="Times New Roman"/>
          <w:b/>
          <w:i/>
          <w:szCs w:val="24"/>
        </w:rPr>
        <w:t>Does not specifically address SAT and SBT, but supports weaning.</w:t>
      </w:r>
    </w:p>
    <w:p w:rsidR="0055402B" w:rsidRPr="00366EEE" w:rsidRDefault="0055402B" w:rsidP="0055402B">
      <w:pPr>
        <w:rPr>
          <w:rFonts w:eastAsia="TimesTen-Roman" w:cs="Times New Roman"/>
          <w:b/>
          <w:i/>
          <w:szCs w:val="24"/>
        </w:rPr>
        <w:sectPr w:rsidR="0055402B" w:rsidRPr="00366EEE" w:rsidSect="007D13A4">
          <w:headerReference w:type="even" r:id="rId9"/>
          <w:headerReference w:type="default" r:id="rId10"/>
          <w:footerReference w:type="even" r:id="rId11"/>
          <w:footerReference w:type="default" r:id="rId12"/>
          <w:pgSz w:w="12240" w:h="15840"/>
          <w:pgMar w:top="2520" w:right="1440" w:bottom="1296" w:left="1440" w:header="360" w:footer="1008" w:gutter="0"/>
          <w:cols w:space="720"/>
          <w:docGrid w:linePitch="360"/>
        </w:sectPr>
      </w:pPr>
    </w:p>
    <w:tbl>
      <w:tblPr>
        <w:tblStyle w:val="TableGrid"/>
        <w:tblW w:w="0" w:type="auto"/>
        <w:tblInd w:w="360" w:type="dxa"/>
        <w:tblLook w:val="04A0" w:firstRow="1" w:lastRow="0" w:firstColumn="1" w:lastColumn="0" w:noHBand="0" w:noVBand="1"/>
      </w:tblPr>
      <w:tblGrid>
        <w:gridCol w:w="3217"/>
        <w:gridCol w:w="5999"/>
      </w:tblGrid>
      <w:tr w:rsidR="0055402B" w:rsidRPr="00366EEE" w:rsidTr="0055402B">
        <w:tc>
          <w:tcPr>
            <w:tcW w:w="921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55402B" w:rsidRPr="00366EEE" w:rsidRDefault="0055402B">
            <w:pPr>
              <w:pStyle w:val="NoSpacing"/>
              <w:rPr>
                <w:rFonts w:eastAsiaTheme="minorHAnsi" w:cs="Arial"/>
                <w:b/>
                <w:sz w:val="28"/>
                <w:szCs w:val="28"/>
              </w:rPr>
            </w:pPr>
            <w:r w:rsidRPr="00366EEE">
              <w:rPr>
                <w:rFonts w:eastAsiaTheme="minorHAnsi" w:cs="Arial"/>
                <w:b/>
                <w:sz w:val="28"/>
                <w:szCs w:val="28"/>
              </w:rPr>
              <w:lastRenderedPageBreak/>
              <w:t xml:space="preserve">Relevant </w:t>
            </w:r>
            <w:r w:rsidR="0078449C">
              <w:rPr>
                <w:rFonts w:eastAsiaTheme="minorHAnsi" w:cs="Arial"/>
                <w:b/>
                <w:sz w:val="28"/>
                <w:szCs w:val="28"/>
              </w:rPr>
              <w:t>Studies</w:t>
            </w:r>
            <w:r w:rsidR="0078449C" w:rsidRPr="00366EEE">
              <w:rPr>
                <w:rFonts w:eastAsiaTheme="minorHAnsi" w:cs="Arial"/>
                <w:b/>
                <w:sz w:val="28"/>
                <w:szCs w:val="28"/>
              </w:rPr>
              <w:t xml:space="preserve"> </w:t>
            </w:r>
            <w:r w:rsidRPr="00366EEE">
              <w:rPr>
                <w:rFonts w:eastAsiaTheme="minorHAnsi" w:cs="Arial"/>
                <w:b/>
                <w:sz w:val="28"/>
                <w:szCs w:val="28"/>
              </w:rPr>
              <w:t>1999–2015</w:t>
            </w:r>
          </w:p>
          <w:p w:rsidR="0055402B" w:rsidRPr="00366EEE" w:rsidRDefault="0055402B">
            <w:pPr>
              <w:pStyle w:val="NoSpacing"/>
              <w:rPr>
                <w:rFonts w:eastAsiaTheme="minorHAnsi" w:cs="Arial"/>
                <w:b/>
                <w:sz w:val="28"/>
                <w:szCs w:val="28"/>
              </w:rPr>
            </w:pP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shd w:val="clear" w:color="auto" w:fill="E4EDF8"/>
            <w:vAlign w:val="center"/>
            <w:hideMark/>
          </w:tcPr>
          <w:p w:rsidR="0055402B" w:rsidRPr="00366EEE" w:rsidRDefault="0055402B">
            <w:pPr>
              <w:pStyle w:val="NoSpacing"/>
              <w:rPr>
                <w:rFonts w:eastAsiaTheme="minorHAnsi" w:cs="Arial"/>
                <w:b/>
                <w:sz w:val="28"/>
              </w:rPr>
            </w:pPr>
            <w:r w:rsidRPr="00366EEE">
              <w:rPr>
                <w:rFonts w:eastAsiaTheme="minorHAnsi" w:cs="Arial"/>
                <w:b/>
                <w:sz w:val="28"/>
              </w:rPr>
              <w:t>Study Type and Author</w:t>
            </w:r>
          </w:p>
        </w:tc>
        <w:tc>
          <w:tcPr>
            <w:tcW w:w="5999" w:type="dxa"/>
            <w:tcBorders>
              <w:top w:val="single" w:sz="4" w:space="0" w:color="auto"/>
              <w:left w:val="single" w:sz="4" w:space="0" w:color="auto"/>
              <w:bottom w:val="single" w:sz="4" w:space="0" w:color="auto"/>
              <w:right w:val="single" w:sz="4" w:space="0" w:color="auto"/>
            </w:tcBorders>
            <w:shd w:val="clear" w:color="auto" w:fill="E4EDF8"/>
            <w:vAlign w:val="center"/>
            <w:hideMark/>
          </w:tcPr>
          <w:p w:rsidR="0055402B" w:rsidRPr="00366EEE" w:rsidRDefault="0055402B">
            <w:pPr>
              <w:pStyle w:val="NoSpacing"/>
              <w:rPr>
                <w:rFonts w:eastAsiaTheme="minorHAnsi" w:cs="Arial"/>
                <w:b/>
                <w:sz w:val="28"/>
              </w:rPr>
            </w:pPr>
            <w:r w:rsidRPr="00366EEE">
              <w:rPr>
                <w:rFonts w:eastAsiaTheme="minorHAnsi" w:cs="Arial"/>
                <w:b/>
                <w:sz w:val="28"/>
              </w:rPr>
              <w:t xml:space="preserve">Results </w:t>
            </w:r>
            <w:r w:rsidRPr="00366EEE">
              <w:rPr>
                <w:i/>
                <w:szCs w:val="24"/>
              </w:rPr>
              <w:t>–</w:t>
            </w:r>
            <w:r w:rsidRPr="00366EEE">
              <w:rPr>
                <w:rFonts w:eastAsiaTheme="minorHAnsi" w:cs="Arial"/>
                <w:b/>
                <w:sz w:val="28"/>
              </w:rPr>
              <w:t xml:space="preserve"> Details in Annotated Bibliography</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rFonts w:eastAsia="Calibri"/>
                <w:sz w:val="20"/>
              </w:rPr>
            </w:pPr>
            <w:r w:rsidRPr="00366EEE">
              <w:rPr>
                <w:sz w:val="20"/>
              </w:rPr>
              <w:t>Randomized Controlled Trial</w:t>
            </w:r>
            <w:r w:rsidR="00500D25">
              <w:rPr>
                <w:sz w:val="20"/>
              </w:rPr>
              <w:t xml:space="preserve"> (RCT)</w:t>
            </w:r>
          </w:p>
          <w:p w:rsidR="0055402B" w:rsidRPr="00366EEE" w:rsidRDefault="0055402B">
            <w:pPr>
              <w:spacing w:before="60" w:after="60"/>
              <w:rPr>
                <w:sz w:val="20"/>
              </w:rPr>
            </w:pPr>
            <w:r w:rsidRPr="00366EEE">
              <w:rPr>
                <w:sz w:val="20"/>
              </w:rPr>
              <w:t>(Fan, 2015)</w:t>
            </w:r>
            <w:r w:rsidRPr="00366EEE">
              <w:rPr>
                <w:sz w:val="20"/>
              </w:rPr>
              <w:fldChar w:fldCharType="begin"/>
            </w:r>
            <w:r w:rsidRPr="00366EEE">
              <w:rPr>
                <w:sz w:val="20"/>
              </w:rPr>
              <w:instrText>ADDIN RW.CITE{{1947 Fan,L. 2015}}</w:instrText>
            </w:r>
            <w:r w:rsidRPr="00366EEE">
              <w:rPr>
                <w:sz w:val="20"/>
              </w:rPr>
              <w:fldChar w:fldCharType="separate"/>
            </w:r>
            <w:r w:rsidRPr="00366EEE">
              <w:rPr>
                <w:sz w:val="20"/>
                <w:vertAlign w:val="superscript"/>
              </w:rPr>
              <w:t>7</w:t>
            </w:r>
            <w:r w:rsidRPr="00366EEE">
              <w:rPr>
                <w:sz w:val="20"/>
              </w:rPr>
              <w:fldChar w:fldCharType="end"/>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rsidP="00521E7E">
            <w:pPr>
              <w:autoSpaceDE w:val="0"/>
              <w:autoSpaceDN w:val="0"/>
              <w:spacing w:before="60" w:after="60"/>
              <w:rPr>
                <w:color w:val="231F20"/>
                <w:sz w:val="20"/>
              </w:rPr>
            </w:pPr>
            <w:r w:rsidRPr="00366EEE">
              <w:rPr>
                <w:b/>
                <w:color w:val="231F20"/>
                <w:sz w:val="20"/>
              </w:rPr>
              <w:t xml:space="preserve">PRO: </w:t>
            </w:r>
            <w:r w:rsidRPr="00366EEE">
              <w:rPr>
                <w:color w:val="231F20"/>
                <w:sz w:val="20"/>
              </w:rPr>
              <w:t>Randomized controlled trial</w:t>
            </w:r>
            <w:r w:rsidR="007F6F80">
              <w:rPr>
                <w:color w:val="231F20"/>
                <w:sz w:val="20"/>
              </w:rPr>
              <w:t xml:space="preserve"> (RCT)</w:t>
            </w:r>
            <w:r w:rsidRPr="00366EEE">
              <w:rPr>
                <w:color w:val="231F20"/>
                <w:sz w:val="20"/>
              </w:rPr>
              <w:t xml:space="preserve"> conducted in a neurological intensive care unit</w:t>
            </w:r>
            <w:r w:rsidR="007F6F80">
              <w:rPr>
                <w:color w:val="231F20"/>
                <w:sz w:val="20"/>
              </w:rPr>
              <w:t xml:space="preserve"> (NCU)</w:t>
            </w:r>
            <w:r w:rsidRPr="00366EEE">
              <w:rPr>
                <w:color w:val="231F20"/>
                <w:sz w:val="20"/>
              </w:rPr>
              <w:t xml:space="preserve"> in a tertiary care hospital. 144 patients requiring mechanical ventilation for </w:t>
            </w:r>
            <w:r w:rsidR="00521E7E">
              <w:rPr>
                <w:color w:val="231F20"/>
                <w:sz w:val="20"/>
              </w:rPr>
              <w:t xml:space="preserve">more than </w:t>
            </w:r>
            <w:r w:rsidRPr="00366EEE">
              <w:rPr>
                <w:color w:val="231F20"/>
                <w:sz w:val="20"/>
              </w:rPr>
              <w:t>24 hours were randomized to protocol-directed (intervention) or physician-directed (control) group. The intervention group had shorter median weaning times and duration of mechanical ventilation than the control group. Protocol-directed weaning reduces weaning times</w:t>
            </w:r>
            <w:r w:rsidR="000D6883">
              <w:rPr>
                <w:color w:val="231F20"/>
                <w:sz w:val="20"/>
              </w:rPr>
              <w:t>, duration of mechanical ventilation, length of NCU stay</w:t>
            </w:r>
            <w:r w:rsidR="00521E7E">
              <w:rPr>
                <w:color w:val="231F20"/>
                <w:sz w:val="20"/>
              </w:rPr>
              <w:t>,</w:t>
            </w:r>
            <w:r w:rsidR="000D6883">
              <w:rPr>
                <w:color w:val="231F20"/>
                <w:sz w:val="20"/>
              </w:rPr>
              <w:t xml:space="preserve"> and NCU cost in neurological patients, and these effects are more significant in conscious patients than in unconscious patients</w:t>
            </w:r>
            <w:r w:rsidRPr="00366EEE">
              <w:rPr>
                <w:color w:val="231F20"/>
                <w:sz w:val="20"/>
              </w:rPr>
              <w:t>.</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Quasi-</w:t>
            </w:r>
            <w:r w:rsidR="00521E7E">
              <w:rPr>
                <w:sz w:val="20"/>
              </w:rPr>
              <w:t>e</w:t>
            </w:r>
            <w:r w:rsidRPr="00366EEE">
              <w:rPr>
                <w:sz w:val="20"/>
              </w:rPr>
              <w:t>xperimental Study</w:t>
            </w:r>
          </w:p>
          <w:p w:rsidR="0055402B" w:rsidRPr="00366EEE" w:rsidRDefault="0055402B">
            <w:pPr>
              <w:spacing w:before="60" w:after="60"/>
              <w:rPr>
                <w:sz w:val="20"/>
              </w:rPr>
            </w:pPr>
            <w:r w:rsidRPr="00366EEE">
              <w:rPr>
                <w:sz w:val="20"/>
              </w:rPr>
              <w:t>(Stollings, 2015)</w:t>
            </w:r>
            <w:r w:rsidRPr="00366EEE">
              <w:rPr>
                <w:sz w:val="20"/>
              </w:rPr>
              <w:fldChar w:fldCharType="begin"/>
            </w:r>
            <w:r w:rsidRPr="00366EEE">
              <w:rPr>
                <w:sz w:val="20"/>
              </w:rPr>
              <w:instrText>ADDIN RW.CITE{{1948 Stollings,J.L. 2015}}</w:instrText>
            </w:r>
            <w:r w:rsidRPr="00366EEE">
              <w:rPr>
                <w:sz w:val="20"/>
              </w:rPr>
              <w:fldChar w:fldCharType="separate"/>
            </w:r>
            <w:r w:rsidRPr="00366EEE">
              <w:rPr>
                <w:sz w:val="20"/>
                <w:vertAlign w:val="superscript"/>
              </w:rPr>
              <w:t>8</w:t>
            </w:r>
            <w:r w:rsidRPr="00366EEE">
              <w:rPr>
                <w:sz w:val="20"/>
              </w:rPr>
              <w:fldChar w:fldCharType="end"/>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color w:val="231F20"/>
                <w:sz w:val="20"/>
              </w:rPr>
            </w:pPr>
            <w:r w:rsidRPr="00366EEE">
              <w:rPr>
                <w:b/>
                <w:color w:val="231F20"/>
                <w:sz w:val="20"/>
              </w:rPr>
              <w:t>PRO:</w:t>
            </w:r>
            <w:r w:rsidRPr="00366EEE">
              <w:rPr>
                <w:color w:val="231F20"/>
                <w:sz w:val="20"/>
              </w:rPr>
              <w:t xml:space="preserve"> Quasi-experimental</w:t>
            </w:r>
            <w:r w:rsidR="000D6883">
              <w:rPr>
                <w:color w:val="231F20"/>
                <w:sz w:val="20"/>
              </w:rPr>
              <w:t>, quality improvement</w:t>
            </w:r>
            <w:r w:rsidRPr="00366EEE">
              <w:rPr>
                <w:color w:val="231F20"/>
                <w:sz w:val="20"/>
              </w:rPr>
              <w:t xml:space="preserve"> study – implemented a pharmacist-driven </w:t>
            </w:r>
            <w:r w:rsidR="00FC49D6">
              <w:rPr>
                <w:color w:val="231F20"/>
                <w:sz w:val="20"/>
              </w:rPr>
              <w:t>spontaneous awakening trail (</w:t>
            </w:r>
            <w:r w:rsidRPr="00366EEE">
              <w:rPr>
                <w:color w:val="231F20"/>
                <w:sz w:val="20"/>
              </w:rPr>
              <w:t>SAT</w:t>
            </w:r>
            <w:r w:rsidR="00FC49D6">
              <w:rPr>
                <w:color w:val="231F20"/>
                <w:sz w:val="20"/>
              </w:rPr>
              <w:t>)</w:t>
            </w:r>
            <w:r w:rsidRPr="00366EEE">
              <w:rPr>
                <w:color w:val="231F20"/>
                <w:sz w:val="20"/>
              </w:rPr>
              <w:t xml:space="preserve"> protocol that included process measures. Compared this to a protocol where pharmacists were not included. A pharmacist-driven protocol significantly improved process measure compliance, comparing the pre-intervention period to the post-intervention period. Results were </w:t>
            </w:r>
            <w:r w:rsidR="007F6F80">
              <w:rPr>
                <w:color w:val="231F20"/>
                <w:sz w:val="20"/>
              </w:rPr>
              <w:t>sustained in the 8-month follow</w:t>
            </w:r>
            <w:r w:rsidRPr="00366EEE">
              <w:rPr>
                <w:color w:val="231F20"/>
                <w:sz w:val="20"/>
              </w:rPr>
              <w:t>up period.</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Controlled Trial</w:t>
            </w:r>
          </w:p>
          <w:p w:rsidR="0055402B" w:rsidRPr="00366EEE" w:rsidRDefault="0055402B">
            <w:pPr>
              <w:spacing w:before="60" w:after="60"/>
              <w:rPr>
                <w:sz w:val="20"/>
              </w:rPr>
            </w:pPr>
            <w:r w:rsidRPr="00366EEE">
              <w:rPr>
                <w:sz w:val="20"/>
              </w:rPr>
              <w:t>(Klompas, 2015)</w:t>
            </w:r>
            <w:r w:rsidRPr="00366EEE">
              <w:rPr>
                <w:sz w:val="20"/>
              </w:rPr>
              <w:fldChar w:fldCharType="begin"/>
            </w:r>
            <w:r w:rsidRPr="00366EEE">
              <w:rPr>
                <w:sz w:val="20"/>
              </w:rPr>
              <w:instrText>ADDIN RW.CITE{{1285 Klompas,M. 2015}}</w:instrText>
            </w:r>
            <w:r w:rsidRPr="00366EEE">
              <w:rPr>
                <w:sz w:val="20"/>
              </w:rPr>
              <w:fldChar w:fldCharType="separate"/>
            </w:r>
            <w:r w:rsidRPr="00366EEE">
              <w:rPr>
                <w:sz w:val="20"/>
                <w:vertAlign w:val="superscript"/>
              </w:rPr>
              <w:t>9</w:t>
            </w:r>
            <w:r w:rsidRPr="00366EEE">
              <w:rPr>
                <w:sz w:val="20"/>
              </w:rPr>
              <w:fldChar w:fldCharType="end"/>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color w:val="231F20"/>
                <w:sz w:val="20"/>
              </w:rPr>
            </w:pPr>
            <w:r w:rsidRPr="00366EEE">
              <w:rPr>
                <w:b/>
                <w:color w:val="231F20"/>
                <w:sz w:val="20"/>
              </w:rPr>
              <w:t xml:space="preserve">PRO: </w:t>
            </w:r>
            <w:r w:rsidRPr="00366EEE">
              <w:rPr>
                <w:color w:val="231F20"/>
                <w:sz w:val="20"/>
              </w:rPr>
              <w:t xml:space="preserve">Controlled trial to assess whether daily coordinated SATs and </w:t>
            </w:r>
            <w:r w:rsidR="00FC49D6">
              <w:rPr>
                <w:color w:val="231F20"/>
                <w:sz w:val="20"/>
              </w:rPr>
              <w:t>spontaneous breathing trials (</w:t>
            </w:r>
            <w:r w:rsidRPr="00366EEE">
              <w:rPr>
                <w:color w:val="231F20"/>
                <w:sz w:val="20"/>
              </w:rPr>
              <w:t>SBTs</w:t>
            </w:r>
            <w:r w:rsidR="00FC49D6">
              <w:rPr>
                <w:color w:val="231F20"/>
                <w:sz w:val="20"/>
              </w:rPr>
              <w:t>)</w:t>
            </w:r>
            <w:r w:rsidRPr="00366EEE">
              <w:rPr>
                <w:color w:val="231F20"/>
                <w:sz w:val="20"/>
              </w:rPr>
              <w:t xml:space="preserve"> might prevent </w:t>
            </w:r>
            <w:r w:rsidR="00FC49D6">
              <w:rPr>
                <w:color w:val="231F20"/>
                <w:sz w:val="20"/>
              </w:rPr>
              <w:t>ventilator-associated events (</w:t>
            </w:r>
            <w:r w:rsidRPr="00366EEE">
              <w:rPr>
                <w:color w:val="231F20"/>
                <w:sz w:val="20"/>
              </w:rPr>
              <w:t>VAEs</w:t>
            </w:r>
            <w:r w:rsidR="00FC49D6">
              <w:rPr>
                <w:color w:val="231F20"/>
                <w:sz w:val="20"/>
              </w:rPr>
              <w:t>)</w:t>
            </w:r>
            <w:r w:rsidRPr="00366EEE">
              <w:rPr>
                <w:color w:val="231F20"/>
                <w:sz w:val="20"/>
              </w:rPr>
              <w:t xml:space="preserve">. 20 units in the </w:t>
            </w:r>
            <w:r w:rsidR="00FC49D6">
              <w:rPr>
                <w:color w:val="231F20"/>
                <w:sz w:val="20"/>
              </w:rPr>
              <w:t xml:space="preserve">Centers for </w:t>
            </w:r>
            <w:r w:rsidR="008E378B">
              <w:rPr>
                <w:color w:val="231F20"/>
                <w:sz w:val="20"/>
              </w:rPr>
              <w:t xml:space="preserve">Disease Control and Prevention </w:t>
            </w:r>
            <w:r w:rsidRPr="00366EEE">
              <w:rPr>
                <w:color w:val="231F20"/>
                <w:sz w:val="20"/>
              </w:rPr>
              <w:t xml:space="preserve">Epicenters Program participated in the trial. 12 units implemented an opt-out protocol for nurses and respiratory therapists to perform paired daily SATs and SBTs. 8 units only conducted surveillance for VAEs. With significant increases in the performance of SATs and SBTs, there were significant decreases in duration of mechanical ventilation and hospital length of stay. </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Prospective, Cohort, Before-After Study</w:t>
            </w:r>
          </w:p>
          <w:p w:rsidR="0055402B" w:rsidRPr="00366EEE" w:rsidRDefault="0055402B">
            <w:pPr>
              <w:spacing w:before="60" w:after="60"/>
              <w:rPr>
                <w:sz w:val="20"/>
              </w:rPr>
            </w:pPr>
            <w:r w:rsidRPr="00366EEE">
              <w:rPr>
                <w:sz w:val="20"/>
              </w:rPr>
              <w:t xml:space="preserve">ABCDE </w:t>
            </w:r>
            <w:r w:rsidR="00521E7E">
              <w:rPr>
                <w:sz w:val="20"/>
              </w:rPr>
              <w:t>Versus</w:t>
            </w:r>
            <w:r w:rsidRPr="00366EEE">
              <w:rPr>
                <w:sz w:val="20"/>
              </w:rPr>
              <w:t xml:space="preserve"> Usual Care</w:t>
            </w:r>
          </w:p>
          <w:p w:rsidR="0055402B" w:rsidRPr="00366EEE" w:rsidRDefault="0055402B">
            <w:pPr>
              <w:spacing w:before="60" w:after="60"/>
              <w:rPr>
                <w:sz w:val="20"/>
              </w:rPr>
            </w:pPr>
            <w:r w:rsidRPr="00366EEE">
              <w:rPr>
                <w:sz w:val="20"/>
              </w:rPr>
              <w:t>(Balas, 2014)</w:t>
            </w:r>
            <w:r w:rsidRPr="00366EEE">
              <w:rPr>
                <w:sz w:val="20"/>
              </w:rPr>
              <w:fldChar w:fldCharType="begin"/>
            </w:r>
            <w:r w:rsidRPr="00366EEE">
              <w:rPr>
                <w:sz w:val="20"/>
              </w:rPr>
              <w:instrText>ADDIN RW.CITE{{890 Balas,M.C. 2014}}</w:instrText>
            </w:r>
            <w:r w:rsidRPr="00366EEE">
              <w:rPr>
                <w:sz w:val="20"/>
              </w:rPr>
              <w:fldChar w:fldCharType="separate"/>
            </w:r>
            <w:r w:rsidRPr="00366EEE">
              <w:rPr>
                <w:sz w:val="20"/>
                <w:vertAlign w:val="superscript"/>
              </w:rPr>
              <w:t>10</w:t>
            </w:r>
            <w:r w:rsidRPr="00366EEE">
              <w:rPr>
                <w:sz w:val="20"/>
              </w:rPr>
              <w:fldChar w:fldCharType="end"/>
            </w:r>
            <w:r w:rsidRPr="00366EEE">
              <w:rPr>
                <w:sz w:val="20"/>
                <w:vertAlign w:val="superscript"/>
              </w:rPr>
              <w:t xml:space="preserve"> </w:t>
            </w:r>
            <w:r w:rsidRPr="00366EEE">
              <w:rPr>
                <w:sz w:val="20"/>
              </w:rPr>
              <w:t xml:space="preserve"> </w:t>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b/>
                <w:color w:val="231F20"/>
                <w:sz w:val="20"/>
              </w:rPr>
            </w:pPr>
            <w:r w:rsidRPr="00366EEE">
              <w:rPr>
                <w:b/>
                <w:sz w:val="20"/>
              </w:rPr>
              <w:t xml:space="preserve">PRO: </w:t>
            </w:r>
            <w:r w:rsidR="0078449C">
              <w:rPr>
                <w:color w:val="000000"/>
                <w:sz w:val="20"/>
                <w:shd w:val="clear" w:color="auto" w:fill="FFFFFF"/>
              </w:rPr>
              <w:t>P</w:t>
            </w:r>
            <w:r w:rsidRPr="00366EEE">
              <w:rPr>
                <w:color w:val="000000"/>
                <w:sz w:val="20"/>
                <w:shd w:val="clear" w:color="auto" w:fill="FFFFFF"/>
              </w:rPr>
              <w:t>atients managed with the awakening and breathing coordination, delirium monitoring/management, and early exercise/mobility bundle spent 3 more days breathing without assistance, experienced less delirium, and were more likely to be mobilized during their intensive care unit (ICU) stay than patients treated with usual care.</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R</w:t>
            </w:r>
            <w:r w:rsidR="00500D25">
              <w:rPr>
                <w:sz w:val="20"/>
              </w:rPr>
              <w:t>CT</w:t>
            </w:r>
          </w:p>
          <w:p w:rsidR="0055402B" w:rsidRPr="00366EEE" w:rsidRDefault="0055402B">
            <w:pPr>
              <w:spacing w:before="60" w:after="60"/>
              <w:rPr>
                <w:sz w:val="20"/>
              </w:rPr>
            </w:pPr>
            <w:r w:rsidRPr="00366EEE">
              <w:rPr>
                <w:sz w:val="20"/>
              </w:rPr>
              <w:t xml:space="preserve">Protocolized Sedation </w:t>
            </w:r>
            <w:r w:rsidR="00521E7E">
              <w:rPr>
                <w:sz w:val="20"/>
              </w:rPr>
              <w:t>V</w:t>
            </w:r>
            <w:r w:rsidRPr="00366EEE">
              <w:rPr>
                <w:sz w:val="20"/>
              </w:rPr>
              <w:t>ersus Protocolized Sedation &amp; Daily Sedation Interruption</w:t>
            </w:r>
          </w:p>
          <w:p w:rsidR="0055402B" w:rsidRPr="00366EEE" w:rsidRDefault="0055402B">
            <w:pPr>
              <w:spacing w:before="60" w:after="60"/>
              <w:rPr>
                <w:sz w:val="20"/>
              </w:rPr>
            </w:pPr>
            <w:r w:rsidRPr="00366EEE">
              <w:rPr>
                <w:sz w:val="20"/>
              </w:rPr>
              <w:t>(Mehta, 2012)</w:t>
            </w:r>
            <w:r w:rsidRPr="00366EEE">
              <w:rPr>
                <w:sz w:val="20"/>
              </w:rPr>
              <w:fldChar w:fldCharType="begin"/>
            </w:r>
            <w:r w:rsidRPr="00366EEE">
              <w:rPr>
                <w:sz w:val="20"/>
              </w:rPr>
              <w:instrText>ADDIN RW.CITE{{907 Mehta,S. 2012}}</w:instrText>
            </w:r>
            <w:r w:rsidRPr="00366EEE">
              <w:rPr>
                <w:sz w:val="20"/>
              </w:rPr>
              <w:fldChar w:fldCharType="separate"/>
            </w:r>
            <w:r w:rsidRPr="00366EEE">
              <w:rPr>
                <w:sz w:val="20"/>
                <w:vertAlign w:val="superscript"/>
              </w:rPr>
              <w:t>3</w:t>
            </w:r>
            <w:r w:rsidRPr="00366EEE">
              <w:rPr>
                <w:sz w:val="20"/>
              </w:rPr>
              <w:fldChar w:fldCharType="end"/>
            </w:r>
            <w:r w:rsidRPr="00366EEE">
              <w:rPr>
                <w:sz w:val="20"/>
                <w:vertAlign w:val="superscript"/>
              </w:rPr>
              <w:t xml:space="preserve"> </w:t>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b/>
                <w:color w:val="231F20"/>
                <w:sz w:val="20"/>
              </w:rPr>
            </w:pPr>
            <w:r w:rsidRPr="00366EEE">
              <w:rPr>
                <w:b/>
                <w:sz w:val="20"/>
                <w:szCs w:val="20"/>
              </w:rPr>
              <w:t xml:space="preserve">CON: </w:t>
            </w:r>
            <w:r w:rsidRPr="00366EEE">
              <w:rPr>
                <w:color w:val="000000"/>
                <w:sz w:val="20"/>
                <w:szCs w:val="20"/>
                <w:shd w:val="clear" w:color="auto" w:fill="FFFFFF"/>
              </w:rPr>
              <w:t xml:space="preserve">Participants included 430 critically ill, mechanically ventilated adults in 16 tertiary care medical and surgical ICUs in Canada and the United States. 209 participants were randomized to the control arm and 214 to the intervention arm. There were no significant differences between the two groups on median time to extubation or duration of ICU stay. Daily interruption was associated with higher daily doses of midazolam and fentanyl and more daily boluses of benzodiazepines. </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tcPr>
          <w:p w:rsidR="0055402B" w:rsidRPr="00366EEE" w:rsidRDefault="0055402B">
            <w:pPr>
              <w:spacing w:before="60" w:after="60"/>
              <w:rPr>
                <w:sz w:val="20"/>
              </w:rPr>
            </w:pPr>
            <w:r w:rsidRPr="00366EEE">
              <w:rPr>
                <w:sz w:val="20"/>
              </w:rPr>
              <w:t>R</w:t>
            </w:r>
            <w:r w:rsidR="00500D25">
              <w:rPr>
                <w:sz w:val="20"/>
              </w:rPr>
              <w:t>CT</w:t>
            </w:r>
          </w:p>
          <w:p w:rsidR="0055402B" w:rsidRPr="00366EEE" w:rsidRDefault="0055402B">
            <w:pPr>
              <w:spacing w:before="60" w:after="60"/>
              <w:rPr>
                <w:sz w:val="20"/>
              </w:rPr>
            </w:pPr>
            <w:r w:rsidRPr="00366EEE">
              <w:rPr>
                <w:sz w:val="20"/>
              </w:rPr>
              <w:t xml:space="preserve">Pressure Support </w:t>
            </w:r>
            <w:r w:rsidR="00521E7E">
              <w:rPr>
                <w:sz w:val="20"/>
              </w:rPr>
              <w:t>Versus</w:t>
            </w:r>
            <w:r w:rsidRPr="00366EEE">
              <w:rPr>
                <w:sz w:val="20"/>
              </w:rPr>
              <w:t xml:space="preserve"> Spontaneous Breathing </w:t>
            </w:r>
          </w:p>
          <w:p w:rsidR="0055402B" w:rsidRPr="00366EEE" w:rsidRDefault="0055402B">
            <w:pPr>
              <w:spacing w:before="60" w:after="60"/>
              <w:rPr>
                <w:b/>
                <w:sz w:val="20"/>
                <w:szCs w:val="20"/>
              </w:rPr>
            </w:pPr>
            <w:r w:rsidRPr="00366EEE">
              <w:rPr>
                <w:sz w:val="20"/>
              </w:rPr>
              <w:t>(Gnanapandithan, 2011)</w:t>
            </w:r>
            <w:r w:rsidRPr="00366EEE">
              <w:rPr>
                <w:sz w:val="20"/>
              </w:rPr>
              <w:fldChar w:fldCharType="begin"/>
            </w:r>
            <w:r w:rsidRPr="00366EEE">
              <w:rPr>
                <w:sz w:val="20"/>
              </w:rPr>
              <w:instrText>ADDIN RW.CITE{{377 Gnanapandithan, K. 2011}}</w:instrText>
            </w:r>
            <w:r w:rsidRPr="00366EEE">
              <w:rPr>
                <w:sz w:val="20"/>
              </w:rPr>
              <w:fldChar w:fldCharType="separate"/>
            </w:r>
            <w:r w:rsidRPr="00366EEE">
              <w:rPr>
                <w:sz w:val="20"/>
                <w:vertAlign w:val="superscript"/>
              </w:rPr>
              <w:t>11</w:t>
            </w:r>
            <w:r w:rsidRPr="00366EEE">
              <w:rPr>
                <w:sz w:val="20"/>
              </w:rPr>
              <w:fldChar w:fldCharType="end"/>
            </w:r>
            <w:r w:rsidRPr="00366EEE">
              <w:rPr>
                <w:sz w:val="20"/>
                <w:vertAlign w:val="superscript"/>
              </w:rPr>
              <w:t xml:space="preserve"> </w:t>
            </w:r>
            <w:r w:rsidRPr="00366EEE">
              <w:rPr>
                <w:b/>
                <w:sz w:val="20"/>
                <w:szCs w:val="20"/>
              </w:rPr>
              <w:t xml:space="preserve"> </w:t>
            </w:r>
          </w:p>
          <w:p w:rsidR="0055402B" w:rsidRPr="00366EEE" w:rsidRDefault="0055402B">
            <w:pPr>
              <w:spacing w:before="60" w:after="60"/>
              <w:rPr>
                <w:sz w:val="20"/>
              </w:rPr>
            </w:pP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rsidP="00521E7E">
            <w:pPr>
              <w:autoSpaceDE w:val="0"/>
              <w:autoSpaceDN w:val="0"/>
              <w:spacing w:before="60" w:after="60"/>
              <w:rPr>
                <w:b/>
                <w:color w:val="231F20"/>
                <w:sz w:val="20"/>
              </w:rPr>
            </w:pPr>
            <w:r w:rsidRPr="00366EEE">
              <w:rPr>
                <w:b/>
                <w:sz w:val="20"/>
                <w:szCs w:val="20"/>
              </w:rPr>
              <w:t>CON:</w:t>
            </w:r>
            <w:r w:rsidRPr="00366EEE">
              <w:rPr>
                <w:color w:val="000000"/>
                <w:sz w:val="20"/>
                <w:szCs w:val="20"/>
                <w:shd w:val="clear" w:color="auto" w:fill="FFFFFF"/>
              </w:rPr>
              <w:t xml:space="preserve"> Study focused on adult patients requiring mechanical ventilation for more than 24 h</w:t>
            </w:r>
            <w:r w:rsidR="00521E7E">
              <w:rPr>
                <w:color w:val="000000"/>
                <w:sz w:val="20"/>
                <w:szCs w:val="20"/>
                <w:shd w:val="clear" w:color="auto" w:fill="FFFFFF"/>
              </w:rPr>
              <w:t>ou</w:t>
            </w:r>
            <w:r w:rsidRPr="00366EEE">
              <w:rPr>
                <w:color w:val="000000"/>
                <w:sz w:val="20"/>
                <w:szCs w:val="20"/>
                <w:shd w:val="clear" w:color="auto" w:fill="FFFFFF"/>
              </w:rPr>
              <w:t>rs. Study findings show that weaning by gradual pressure support (PS) without an initial SBT was associated with better outcomes (in terms of higher weaning trial successes and shorter ICU stay) and trend towards quicker time to extubation than weaning by PS supported with SBTs.</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lastRenderedPageBreak/>
              <w:t>National Nursing Survey</w:t>
            </w:r>
          </w:p>
          <w:p w:rsidR="0055402B" w:rsidRPr="00366EEE" w:rsidRDefault="0055402B">
            <w:pPr>
              <w:spacing w:before="60" w:after="60"/>
              <w:rPr>
                <w:sz w:val="20"/>
              </w:rPr>
            </w:pPr>
            <w:r w:rsidRPr="00366EEE">
              <w:rPr>
                <w:sz w:val="20"/>
              </w:rPr>
              <w:t>(Guttormson, 2010)</w:t>
            </w:r>
            <w:r w:rsidRPr="00366EEE">
              <w:rPr>
                <w:sz w:val="20"/>
              </w:rPr>
              <w:fldChar w:fldCharType="begin"/>
            </w:r>
            <w:r w:rsidRPr="00366EEE">
              <w:rPr>
                <w:sz w:val="20"/>
              </w:rPr>
              <w:instrText>ADDIN RW.CITE{{384 Guttormson, JL.,ChlanL. 2010}}</w:instrText>
            </w:r>
            <w:r w:rsidRPr="00366EEE">
              <w:rPr>
                <w:sz w:val="20"/>
              </w:rPr>
              <w:fldChar w:fldCharType="separate"/>
            </w:r>
            <w:r w:rsidRPr="00366EEE">
              <w:rPr>
                <w:sz w:val="20"/>
                <w:vertAlign w:val="superscript"/>
              </w:rPr>
              <w:t>12</w:t>
            </w:r>
            <w:r w:rsidRPr="00366EEE">
              <w:rPr>
                <w:sz w:val="20"/>
              </w:rPr>
              <w:fldChar w:fldCharType="end"/>
            </w:r>
            <w:r w:rsidRPr="00366EEE">
              <w:rPr>
                <w:sz w:val="20"/>
                <w:vertAlign w:val="superscript"/>
              </w:rPr>
              <w:t xml:space="preserve"> </w:t>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b/>
                <w:color w:val="231F20"/>
                <w:sz w:val="20"/>
              </w:rPr>
            </w:pPr>
            <w:r w:rsidRPr="00366EEE">
              <w:rPr>
                <w:b/>
                <w:sz w:val="20"/>
                <w:szCs w:val="20"/>
              </w:rPr>
              <w:t xml:space="preserve">PRO: </w:t>
            </w:r>
            <w:r w:rsidRPr="00366EEE">
              <w:rPr>
                <w:sz w:val="20"/>
                <w:szCs w:val="20"/>
              </w:rPr>
              <w:t xml:space="preserve">Survey focused on members of the American Association of Critical Care Nurses. Findings showed that </w:t>
            </w:r>
            <w:r w:rsidR="00F223AE">
              <w:rPr>
                <w:sz w:val="20"/>
                <w:szCs w:val="20"/>
              </w:rPr>
              <w:t xml:space="preserve">positive </w:t>
            </w:r>
            <w:r w:rsidRPr="00366EEE">
              <w:rPr>
                <w:sz w:val="20"/>
                <w:szCs w:val="20"/>
              </w:rPr>
              <w:t>nursing attitudes toward the</w:t>
            </w:r>
            <w:r w:rsidR="00F57D88">
              <w:rPr>
                <w:sz w:val="20"/>
                <w:szCs w:val="20"/>
              </w:rPr>
              <w:t xml:space="preserve"> effectiveness of sedation in relieving the discomfort of</w:t>
            </w:r>
            <w:r w:rsidRPr="00366EEE">
              <w:rPr>
                <w:sz w:val="20"/>
                <w:szCs w:val="20"/>
              </w:rPr>
              <w:t xml:space="preserve"> mechanical ventilation had a moderate positive correlation with sedation practices and intent to administer sedation to all mechanical ventilated patients.</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Survey of SCCM</w:t>
            </w:r>
          </w:p>
          <w:p w:rsidR="0055402B" w:rsidRPr="00366EEE" w:rsidRDefault="0055402B">
            <w:pPr>
              <w:spacing w:before="60" w:after="60"/>
              <w:rPr>
                <w:sz w:val="20"/>
              </w:rPr>
            </w:pPr>
            <w:r w:rsidRPr="00366EEE">
              <w:rPr>
                <w:sz w:val="20"/>
              </w:rPr>
              <w:t>(Tanios, 2009)</w:t>
            </w:r>
            <w:r w:rsidRPr="00366EEE">
              <w:rPr>
                <w:sz w:val="20"/>
              </w:rPr>
              <w:fldChar w:fldCharType="begin"/>
            </w:r>
            <w:r w:rsidRPr="00366EEE">
              <w:rPr>
                <w:sz w:val="20"/>
              </w:rPr>
              <w:instrText>ADDIN RW.CITE{{385 Tanios, MA. 2009}}</w:instrText>
            </w:r>
            <w:r w:rsidRPr="00366EEE">
              <w:rPr>
                <w:sz w:val="20"/>
              </w:rPr>
              <w:fldChar w:fldCharType="separate"/>
            </w:r>
            <w:r w:rsidRPr="00366EEE">
              <w:rPr>
                <w:sz w:val="20"/>
                <w:vertAlign w:val="superscript"/>
              </w:rPr>
              <w:t>13</w:t>
            </w:r>
            <w:r w:rsidRPr="00366EEE">
              <w:rPr>
                <w:sz w:val="20"/>
              </w:rPr>
              <w:fldChar w:fldCharType="end"/>
            </w:r>
            <w:r w:rsidRPr="00366EEE">
              <w:rPr>
                <w:sz w:val="20"/>
                <w:vertAlign w:val="superscript"/>
              </w:rPr>
              <w:t xml:space="preserve"> </w:t>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b/>
                <w:sz w:val="20"/>
                <w:szCs w:val="20"/>
              </w:rPr>
            </w:pPr>
            <w:r w:rsidRPr="00366EEE">
              <w:rPr>
                <w:b/>
                <w:sz w:val="20"/>
                <w:szCs w:val="20"/>
              </w:rPr>
              <w:t xml:space="preserve">PRO: </w:t>
            </w:r>
            <w:r w:rsidRPr="00366EEE">
              <w:rPr>
                <w:sz w:val="20"/>
                <w:szCs w:val="20"/>
              </w:rPr>
              <w:t xml:space="preserve">Survey focused on 12,994 physician, nurse, and pharmacist members of Society of Critical Care Medicine. Findings showed that nurse attitudes toward the efficacy of sedation for mechanically ventilated patients was positively correlated with nurses’ report of the sedation practice. </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 xml:space="preserve">Randomized Trial </w:t>
            </w:r>
          </w:p>
          <w:p w:rsidR="0055402B" w:rsidRPr="00366EEE" w:rsidRDefault="0055402B">
            <w:pPr>
              <w:spacing w:before="60" w:after="60"/>
              <w:rPr>
                <w:sz w:val="20"/>
              </w:rPr>
            </w:pPr>
            <w:r w:rsidRPr="00366EEE">
              <w:rPr>
                <w:sz w:val="20"/>
              </w:rPr>
              <w:t xml:space="preserve">SAT with SBT </w:t>
            </w:r>
            <w:r w:rsidR="00521E7E">
              <w:rPr>
                <w:sz w:val="20"/>
              </w:rPr>
              <w:t>Versus</w:t>
            </w:r>
            <w:r w:rsidRPr="00366EEE">
              <w:rPr>
                <w:sz w:val="20"/>
              </w:rPr>
              <w:t xml:space="preserve"> Standard of Care and SBT </w:t>
            </w:r>
          </w:p>
          <w:p w:rsidR="0055402B" w:rsidRPr="00366EEE" w:rsidRDefault="0055402B">
            <w:pPr>
              <w:spacing w:before="60" w:after="60"/>
              <w:rPr>
                <w:sz w:val="20"/>
              </w:rPr>
            </w:pPr>
            <w:r w:rsidRPr="00366EEE">
              <w:rPr>
                <w:sz w:val="20"/>
              </w:rPr>
              <w:t>(Girard, 2008)</w:t>
            </w:r>
            <w:r w:rsidRPr="00366EEE">
              <w:rPr>
                <w:sz w:val="20"/>
              </w:rPr>
              <w:fldChar w:fldCharType="begin"/>
            </w:r>
            <w:r w:rsidRPr="00366EEE">
              <w:rPr>
                <w:sz w:val="20"/>
              </w:rPr>
              <w:instrText>ADDIN RW.CITE{{33 Girard,T.D. 2008}}</w:instrText>
            </w:r>
            <w:r w:rsidRPr="00366EEE">
              <w:rPr>
                <w:sz w:val="20"/>
              </w:rPr>
              <w:fldChar w:fldCharType="separate"/>
            </w:r>
            <w:r w:rsidRPr="00366EEE">
              <w:rPr>
                <w:sz w:val="20"/>
                <w:vertAlign w:val="superscript"/>
              </w:rPr>
              <w:t>1</w:t>
            </w:r>
            <w:r w:rsidRPr="00366EEE">
              <w:rPr>
                <w:sz w:val="20"/>
              </w:rPr>
              <w:fldChar w:fldCharType="end"/>
            </w:r>
            <w:r w:rsidRPr="00366EEE">
              <w:rPr>
                <w:sz w:val="20"/>
                <w:szCs w:val="20"/>
              </w:rPr>
              <w:t xml:space="preserve"> </w:t>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rsidP="00521E7E">
            <w:pPr>
              <w:autoSpaceDE w:val="0"/>
              <w:autoSpaceDN w:val="0"/>
              <w:spacing w:before="60" w:after="60"/>
              <w:rPr>
                <w:b/>
                <w:sz w:val="20"/>
                <w:szCs w:val="20"/>
              </w:rPr>
            </w:pPr>
            <w:r w:rsidRPr="00366EEE">
              <w:rPr>
                <w:b/>
                <w:sz w:val="20"/>
                <w:szCs w:val="20"/>
              </w:rPr>
              <w:t xml:space="preserve">PRO: </w:t>
            </w:r>
            <w:r w:rsidRPr="00366EEE">
              <w:rPr>
                <w:sz w:val="20"/>
                <w:szCs w:val="20"/>
              </w:rPr>
              <w:t xml:space="preserve">Study focused on adult mechanically ventilated patients in the intensive care unit who required ventilation for 12 hours or more. Findings show that a paired sedation and weaning protocol consisting of daily </w:t>
            </w:r>
            <w:r w:rsidR="00FC49D6">
              <w:rPr>
                <w:sz w:val="20"/>
                <w:szCs w:val="20"/>
              </w:rPr>
              <w:t xml:space="preserve">SATs </w:t>
            </w:r>
            <w:r w:rsidRPr="00366EEE">
              <w:rPr>
                <w:sz w:val="20"/>
                <w:szCs w:val="20"/>
              </w:rPr>
              <w:t>plus SBTs were better at reducing length of mechanical ventilation, length of stay</w:t>
            </w:r>
            <w:r w:rsidR="00521E7E">
              <w:rPr>
                <w:sz w:val="20"/>
                <w:szCs w:val="20"/>
              </w:rPr>
              <w:t>,</w:t>
            </w:r>
            <w:r w:rsidRPr="00366EEE">
              <w:rPr>
                <w:sz w:val="20"/>
                <w:szCs w:val="20"/>
              </w:rPr>
              <w:t xml:space="preserve"> and </w:t>
            </w:r>
            <w:r w:rsidR="00521E7E">
              <w:rPr>
                <w:sz w:val="20"/>
                <w:szCs w:val="20"/>
              </w:rPr>
              <w:t>1</w:t>
            </w:r>
            <w:r w:rsidRPr="00366EEE">
              <w:rPr>
                <w:sz w:val="20"/>
                <w:szCs w:val="20"/>
              </w:rPr>
              <w:t xml:space="preserve"> year mortality.</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Quasi- Experimental</w:t>
            </w:r>
          </w:p>
          <w:p w:rsidR="0055402B" w:rsidRPr="00366EEE" w:rsidRDefault="0055402B">
            <w:pPr>
              <w:spacing w:before="60" w:after="60"/>
              <w:rPr>
                <w:sz w:val="20"/>
              </w:rPr>
            </w:pPr>
            <w:r w:rsidRPr="00366EEE">
              <w:rPr>
                <w:sz w:val="20"/>
              </w:rPr>
              <w:t>Nurse</w:t>
            </w:r>
            <w:r w:rsidR="00521E7E">
              <w:rPr>
                <w:sz w:val="20"/>
              </w:rPr>
              <w:t>-</w:t>
            </w:r>
            <w:r w:rsidRPr="00366EEE">
              <w:rPr>
                <w:sz w:val="20"/>
              </w:rPr>
              <w:t>Implemented Sedation Intervention</w:t>
            </w:r>
          </w:p>
          <w:p w:rsidR="0055402B" w:rsidRPr="00366EEE" w:rsidRDefault="0055402B">
            <w:pPr>
              <w:spacing w:before="60" w:after="60"/>
              <w:rPr>
                <w:sz w:val="20"/>
              </w:rPr>
            </w:pPr>
            <w:r w:rsidRPr="00366EEE">
              <w:rPr>
                <w:sz w:val="20"/>
              </w:rPr>
              <w:t>(Quenot, 2007)</w:t>
            </w:r>
            <w:r w:rsidRPr="00366EEE">
              <w:rPr>
                <w:sz w:val="20"/>
              </w:rPr>
              <w:fldChar w:fldCharType="begin"/>
            </w:r>
            <w:r w:rsidRPr="00366EEE">
              <w:rPr>
                <w:sz w:val="20"/>
              </w:rPr>
              <w:instrText>ADDIN RW.CITE{{382 Quenot, JP. 2007}}</w:instrText>
            </w:r>
            <w:r w:rsidRPr="00366EEE">
              <w:rPr>
                <w:sz w:val="20"/>
              </w:rPr>
              <w:fldChar w:fldCharType="separate"/>
            </w:r>
            <w:r w:rsidRPr="00366EEE">
              <w:rPr>
                <w:sz w:val="20"/>
                <w:vertAlign w:val="superscript"/>
              </w:rPr>
              <w:t>14</w:t>
            </w:r>
            <w:r w:rsidRPr="00366EEE">
              <w:rPr>
                <w:sz w:val="20"/>
              </w:rPr>
              <w:fldChar w:fldCharType="end"/>
            </w:r>
            <w:r w:rsidRPr="00366EEE">
              <w:rPr>
                <w:sz w:val="20"/>
                <w:vertAlign w:val="superscript"/>
              </w:rPr>
              <w:t xml:space="preserve"> </w:t>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rsidP="00521E7E">
            <w:pPr>
              <w:autoSpaceDE w:val="0"/>
              <w:autoSpaceDN w:val="0"/>
              <w:spacing w:before="60" w:after="60"/>
              <w:rPr>
                <w:b/>
                <w:sz w:val="20"/>
                <w:szCs w:val="20"/>
              </w:rPr>
            </w:pPr>
            <w:r w:rsidRPr="00366EEE">
              <w:rPr>
                <w:b/>
                <w:sz w:val="20"/>
                <w:szCs w:val="20"/>
              </w:rPr>
              <w:t xml:space="preserve">PRO: </w:t>
            </w:r>
            <w:r w:rsidRPr="00366EEE">
              <w:rPr>
                <w:sz w:val="20"/>
                <w:szCs w:val="20"/>
              </w:rPr>
              <w:t>Study focused on 423 adult patients requiri</w:t>
            </w:r>
            <w:r w:rsidR="007F6F80">
              <w:rPr>
                <w:sz w:val="20"/>
                <w:szCs w:val="20"/>
              </w:rPr>
              <w:t xml:space="preserve">ng mechanical ventilation for </w:t>
            </w:r>
            <w:r w:rsidR="00521E7E">
              <w:rPr>
                <w:sz w:val="20"/>
                <w:szCs w:val="20"/>
              </w:rPr>
              <w:t xml:space="preserve">at least </w:t>
            </w:r>
            <w:r w:rsidRPr="00366EEE">
              <w:rPr>
                <w:sz w:val="20"/>
                <w:szCs w:val="20"/>
              </w:rPr>
              <w:t xml:space="preserve">48 hours and infused with midazolam or propofol. Study findings showed that a nurse-implemented sedation protocol decreased the rate of ventilator-associated pneumonia </w:t>
            </w:r>
            <w:r w:rsidR="00FC49D6">
              <w:rPr>
                <w:sz w:val="20"/>
                <w:szCs w:val="20"/>
              </w:rPr>
              <w:t xml:space="preserve">(VAP) </w:t>
            </w:r>
            <w:r w:rsidRPr="00366EEE">
              <w:rPr>
                <w:sz w:val="20"/>
                <w:szCs w:val="20"/>
              </w:rPr>
              <w:t>and duration of mechanical ventilation.</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Quasi-Experimental Study</w:t>
            </w:r>
          </w:p>
          <w:p w:rsidR="0055402B" w:rsidRPr="00366EEE" w:rsidRDefault="0055402B">
            <w:pPr>
              <w:spacing w:before="60" w:after="60"/>
              <w:rPr>
                <w:rFonts w:cs="Times New Roman"/>
                <w:b/>
                <w:i/>
                <w:sz w:val="20"/>
              </w:rPr>
            </w:pPr>
            <w:r w:rsidRPr="00366EEE">
              <w:rPr>
                <w:sz w:val="20"/>
              </w:rPr>
              <w:t>(Resar, 2005)</w:t>
            </w:r>
            <w:r w:rsidRPr="00366EEE">
              <w:rPr>
                <w:sz w:val="20"/>
              </w:rPr>
              <w:fldChar w:fldCharType="begin"/>
            </w:r>
            <w:r w:rsidRPr="00366EEE">
              <w:rPr>
                <w:sz w:val="20"/>
              </w:rPr>
              <w:instrText>ADDIN RW.CITE{{145 Resar,R. 2005}}</w:instrText>
            </w:r>
            <w:r w:rsidRPr="00366EEE">
              <w:rPr>
                <w:sz w:val="20"/>
              </w:rPr>
              <w:fldChar w:fldCharType="separate"/>
            </w:r>
            <w:r w:rsidRPr="00366EEE">
              <w:rPr>
                <w:sz w:val="20"/>
                <w:vertAlign w:val="superscript"/>
              </w:rPr>
              <w:t>15</w:t>
            </w:r>
            <w:r w:rsidRPr="00366EEE">
              <w:rPr>
                <w:sz w:val="20"/>
              </w:rPr>
              <w:fldChar w:fldCharType="end"/>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rFonts w:cs="Times New Roman"/>
                <w:b/>
                <w:bCs/>
                <w:i/>
                <w:sz w:val="20"/>
              </w:rPr>
            </w:pPr>
            <w:r w:rsidRPr="00366EEE">
              <w:rPr>
                <w:b/>
                <w:color w:val="231F20"/>
                <w:sz w:val="20"/>
              </w:rPr>
              <w:t>PRO</w:t>
            </w:r>
            <w:r w:rsidRPr="00366EEE">
              <w:rPr>
                <w:color w:val="231F20"/>
                <w:sz w:val="20"/>
              </w:rPr>
              <w:t xml:space="preserve">: This study did not specifically focus on weaning or sedation vacation, but the implementation of the Institute for Healthcare Improvement ventilation bundle. Findings showed that adherence to the bundle led to a significant reduction of VAP. One of the items in the ventilator bundle was use of a sedation vacation protocol. </w:t>
            </w:r>
          </w:p>
        </w:tc>
      </w:tr>
      <w:tr w:rsidR="0055402B" w:rsidRPr="00366EEE" w:rsidTr="008E378B">
        <w:tc>
          <w:tcPr>
            <w:tcW w:w="3217" w:type="dxa"/>
            <w:tcBorders>
              <w:top w:val="single" w:sz="4" w:space="0" w:color="auto"/>
              <w:left w:val="single" w:sz="4" w:space="0" w:color="auto"/>
              <w:bottom w:val="single" w:sz="4" w:space="0" w:color="auto"/>
              <w:right w:val="single" w:sz="4" w:space="0" w:color="auto"/>
            </w:tcBorders>
            <w:vAlign w:val="center"/>
            <w:hideMark/>
          </w:tcPr>
          <w:p w:rsidR="0055402B" w:rsidRPr="00366EEE" w:rsidRDefault="0055402B">
            <w:pPr>
              <w:spacing w:before="60" w:after="60"/>
              <w:rPr>
                <w:bCs/>
                <w:sz w:val="20"/>
              </w:rPr>
            </w:pPr>
            <w:r w:rsidRPr="00366EEE">
              <w:rPr>
                <w:sz w:val="20"/>
              </w:rPr>
              <w:t xml:space="preserve">Ventilator Management Protocol </w:t>
            </w:r>
            <w:r w:rsidR="00521E7E">
              <w:rPr>
                <w:sz w:val="20"/>
              </w:rPr>
              <w:t>Versus</w:t>
            </w:r>
            <w:r w:rsidRPr="00366EEE">
              <w:rPr>
                <w:sz w:val="20"/>
              </w:rPr>
              <w:t xml:space="preserve"> Control</w:t>
            </w:r>
          </w:p>
          <w:p w:rsidR="0055402B" w:rsidRPr="00366EEE" w:rsidRDefault="0055402B">
            <w:pPr>
              <w:spacing w:before="60" w:after="60"/>
              <w:rPr>
                <w:sz w:val="20"/>
              </w:rPr>
            </w:pPr>
            <w:r w:rsidRPr="00366EEE">
              <w:rPr>
                <w:sz w:val="20"/>
              </w:rPr>
              <w:t>(Marelich, 2000)</w:t>
            </w:r>
            <w:r w:rsidRPr="00366EEE">
              <w:rPr>
                <w:sz w:val="20"/>
              </w:rPr>
              <w:fldChar w:fldCharType="begin"/>
            </w:r>
            <w:r w:rsidRPr="00366EEE">
              <w:rPr>
                <w:sz w:val="20"/>
              </w:rPr>
              <w:instrText>ADDIN RW.CITE{{149 Marelich,G.P. 2000}}</w:instrText>
            </w:r>
            <w:r w:rsidRPr="00366EEE">
              <w:rPr>
                <w:sz w:val="20"/>
              </w:rPr>
              <w:fldChar w:fldCharType="separate"/>
            </w:r>
            <w:r w:rsidRPr="00366EEE">
              <w:rPr>
                <w:sz w:val="20"/>
                <w:vertAlign w:val="superscript"/>
              </w:rPr>
              <w:t>16</w:t>
            </w:r>
            <w:r w:rsidRPr="00366EEE">
              <w:rPr>
                <w:sz w:val="20"/>
              </w:rPr>
              <w:fldChar w:fldCharType="end"/>
            </w:r>
            <w:r w:rsidRPr="00366EEE">
              <w:rPr>
                <w:sz w:val="20"/>
              </w:rPr>
              <w:t xml:space="preserve"> </w:t>
            </w:r>
          </w:p>
        </w:tc>
        <w:tc>
          <w:tcPr>
            <w:tcW w:w="5999" w:type="dxa"/>
            <w:tcBorders>
              <w:top w:val="single" w:sz="4" w:space="0" w:color="auto"/>
              <w:left w:val="single" w:sz="4" w:space="0" w:color="auto"/>
              <w:bottom w:val="single" w:sz="4" w:space="0" w:color="auto"/>
              <w:right w:val="single" w:sz="4" w:space="0" w:color="auto"/>
            </w:tcBorders>
            <w:hideMark/>
          </w:tcPr>
          <w:p w:rsidR="0055402B" w:rsidRPr="00366EEE" w:rsidRDefault="0055402B" w:rsidP="00FC49D6">
            <w:pPr>
              <w:autoSpaceDE w:val="0"/>
              <w:autoSpaceDN w:val="0"/>
              <w:spacing w:before="60" w:after="60"/>
              <w:rPr>
                <w:color w:val="231F20"/>
                <w:sz w:val="20"/>
              </w:rPr>
            </w:pPr>
            <w:r w:rsidRPr="00366EEE">
              <w:rPr>
                <w:b/>
                <w:color w:val="231F20"/>
                <w:sz w:val="20"/>
              </w:rPr>
              <w:t>PRO</w:t>
            </w:r>
            <w:r w:rsidRPr="00366EEE">
              <w:rPr>
                <w:color w:val="231F20"/>
                <w:sz w:val="20"/>
              </w:rPr>
              <w:t>: This article did not focus on sedation vacation intervention, but the use of ventilator</w:t>
            </w:r>
            <w:r w:rsidR="008E378B">
              <w:rPr>
                <w:color w:val="231F20"/>
                <w:sz w:val="20"/>
              </w:rPr>
              <w:t xml:space="preserve"> management protocol, including</w:t>
            </w:r>
            <w:r w:rsidRPr="00366EEE">
              <w:rPr>
                <w:color w:val="231F20"/>
                <w:sz w:val="20"/>
              </w:rPr>
              <w:t xml:space="preserve"> twice-daily </w:t>
            </w:r>
            <w:r w:rsidR="00FC49D6">
              <w:rPr>
                <w:color w:val="231F20"/>
                <w:sz w:val="20"/>
              </w:rPr>
              <w:t>SBTs</w:t>
            </w:r>
            <w:r w:rsidRPr="00366EEE">
              <w:rPr>
                <w:color w:val="231F20"/>
                <w:sz w:val="20"/>
              </w:rPr>
              <w:t>.</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tcPr>
          <w:p w:rsidR="0055402B" w:rsidRPr="00366EEE" w:rsidRDefault="0055402B">
            <w:pPr>
              <w:spacing w:before="60" w:after="60"/>
              <w:rPr>
                <w:sz w:val="20"/>
              </w:rPr>
            </w:pPr>
            <w:r w:rsidRPr="00366EEE">
              <w:rPr>
                <w:sz w:val="20"/>
              </w:rPr>
              <w:t xml:space="preserve">Sedation Interruption </w:t>
            </w:r>
            <w:r w:rsidR="00521E7E">
              <w:rPr>
                <w:sz w:val="20"/>
              </w:rPr>
              <w:t>Versus</w:t>
            </w:r>
            <w:r w:rsidRPr="00366EEE">
              <w:rPr>
                <w:sz w:val="20"/>
              </w:rPr>
              <w:t xml:space="preserve"> Control</w:t>
            </w:r>
          </w:p>
          <w:p w:rsidR="0055402B" w:rsidRPr="00366EEE" w:rsidRDefault="0055402B">
            <w:pPr>
              <w:spacing w:before="60" w:after="60"/>
              <w:rPr>
                <w:sz w:val="20"/>
              </w:rPr>
            </w:pPr>
            <w:r w:rsidRPr="00366EEE">
              <w:rPr>
                <w:sz w:val="20"/>
              </w:rPr>
              <w:t>(Kress, 2000)</w:t>
            </w:r>
            <w:r w:rsidRPr="00366EEE">
              <w:rPr>
                <w:sz w:val="20"/>
              </w:rPr>
              <w:fldChar w:fldCharType="begin"/>
            </w:r>
            <w:r w:rsidRPr="00366EEE">
              <w:rPr>
                <w:sz w:val="20"/>
              </w:rPr>
              <w:instrText>ADDIN RW.CITE{{372 Kress, JP. 2000}}</w:instrText>
            </w:r>
            <w:r w:rsidRPr="00366EEE">
              <w:rPr>
                <w:sz w:val="20"/>
              </w:rPr>
              <w:fldChar w:fldCharType="separate"/>
            </w:r>
            <w:r w:rsidRPr="00366EEE">
              <w:rPr>
                <w:sz w:val="20"/>
                <w:vertAlign w:val="superscript"/>
              </w:rPr>
              <w:t>17</w:t>
            </w:r>
            <w:r w:rsidRPr="00366EEE">
              <w:rPr>
                <w:sz w:val="20"/>
              </w:rPr>
              <w:fldChar w:fldCharType="end"/>
            </w:r>
            <w:r w:rsidRPr="00366EEE">
              <w:rPr>
                <w:sz w:val="20"/>
              </w:rPr>
              <w:t xml:space="preserve"> </w:t>
            </w:r>
          </w:p>
          <w:p w:rsidR="0055402B" w:rsidRPr="00366EEE" w:rsidRDefault="0055402B">
            <w:pPr>
              <w:spacing w:before="60" w:after="60"/>
              <w:rPr>
                <w:sz w:val="20"/>
              </w:rPr>
            </w:pPr>
          </w:p>
        </w:tc>
        <w:tc>
          <w:tcPr>
            <w:tcW w:w="5999" w:type="dxa"/>
            <w:tcBorders>
              <w:top w:val="single" w:sz="4" w:space="0" w:color="auto"/>
              <w:left w:val="single" w:sz="4" w:space="0" w:color="auto"/>
              <w:bottom w:val="single" w:sz="4" w:space="0" w:color="auto"/>
              <w:right w:val="single" w:sz="4" w:space="0" w:color="auto"/>
            </w:tcBorders>
            <w:vAlign w:val="center"/>
            <w:hideMark/>
          </w:tcPr>
          <w:p w:rsidR="0055402B" w:rsidRPr="00366EEE" w:rsidRDefault="0055402B" w:rsidP="008E378B">
            <w:pPr>
              <w:autoSpaceDE w:val="0"/>
              <w:autoSpaceDN w:val="0"/>
              <w:spacing w:before="60" w:after="60"/>
              <w:rPr>
                <w:color w:val="231F20"/>
                <w:sz w:val="20"/>
              </w:rPr>
            </w:pPr>
            <w:r w:rsidRPr="00366EEE">
              <w:rPr>
                <w:b/>
                <w:color w:val="231F20"/>
                <w:sz w:val="20"/>
              </w:rPr>
              <w:t>PRO</w:t>
            </w:r>
            <w:r w:rsidRPr="00366EEE">
              <w:rPr>
                <w:color w:val="231F20"/>
                <w:sz w:val="20"/>
              </w:rPr>
              <w:t xml:space="preserve">: Study focused on adult medical patients requiring mechanical ventilation who were receiving continuous infusion of sedative drugs. Findings showed that daily interruption of sedative drug infusions decreased the duration of mechanical ventilation and the length of stay in the </w:t>
            </w:r>
            <w:r w:rsidR="008E378B">
              <w:rPr>
                <w:color w:val="231F20"/>
                <w:sz w:val="20"/>
              </w:rPr>
              <w:t>ICU.</w:t>
            </w:r>
          </w:p>
        </w:tc>
      </w:tr>
      <w:tr w:rsidR="0055402B" w:rsidRPr="00366EEE" w:rsidTr="0055402B">
        <w:tc>
          <w:tcPr>
            <w:tcW w:w="3217"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 xml:space="preserve">Protocol-Directed </w:t>
            </w:r>
            <w:r w:rsidR="00521E7E">
              <w:rPr>
                <w:sz w:val="20"/>
              </w:rPr>
              <w:t>Versus</w:t>
            </w:r>
            <w:r w:rsidRPr="00366EEE">
              <w:rPr>
                <w:sz w:val="20"/>
              </w:rPr>
              <w:t xml:space="preserve"> Non-Protocol </w:t>
            </w:r>
          </w:p>
          <w:p w:rsidR="0055402B" w:rsidRPr="00366EEE" w:rsidRDefault="0055402B">
            <w:pPr>
              <w:spacing w:before="60" w:after="60"/>
              <w:rPr>
                <w:sz w:val="20"/>
              </w:rPr>
            </w:pPr>
            <w:r w:rsidRPr="00366EEE">
              <w:rPr>
                <w:sz w:val="20"/>
              </w:rPr>
              <w:t>(Brook, 1999)</w:t>
            </w:r>
            <w:r w:rsidRPr="00366EEE">
              <w:rPr>
                <w:sz w:val="20"/>
              </w:rPr>
              <w:fldChar w:fldCharType="begin"/>
            </w:r>
            <w:r w:rsidRPr="00366EEE">
              <w:rPr>
                <w:sz w:val="20"/>
              </w:rPr>
              <w:instrText>ADDIN RW.CITE{{144 Brook,A.D. 1999}}</w:instrText>
            </w:r>
            <w:r w:rsidRPr="00366EEE">
              <w:rPr>
                <w:sz w:val="20"/>
              </w:rPr>
              <w:fldChar w:fldCharType="separate"/>
            </w:r>
            <w:r w:rsidRPr="00366EEE">
              <w:rPr>
                <w:sz w:val="20"/>
                <w:vertAlign w:val="superscript"/>
              </w:rPr>
              <w:t>18</w:t>
            </w:r>
            <w:r w:rsidRPr="00366EEE">
              <w:rPr>
                <w:sz w:val="20"/>
              </w:rPr>
              <w:fldChar w:fldCharType="end"/>
            </w:r>
          </w:p>
        </w:tc>
        <w:tc>
          <w:tcPr>
            <w:tcW w:w="5999" w:type="dxa"/>
            <w:tcBorders>
              <w:top w:val="single" w:sz="4" w:space="0" w:color="auto"/>
              <w:left w:val="single" w:sz="4" w:space="0" w:color="auto"/>
              <w:bottom w:val="single" w:sz="4" w:space="0" w:color="auto"/>
              <w:right w:val="single" w:sz="4" w:space="0" w:color="auto"/>
            </w:tcBorders>
            <w:vAlign w:val="center"/>
            <w:hideMark/>
          </w:tcPr>
          <w:p w:rsidR="0055402B" w:rsidRPr="00366EEE" w:rsidRDefault="0055402B" w:rsidP="00FC49D6">
            <w:pPr>
              <w:autoSpaceDE w:val="0"/>
              <w:autoSpaceDN w:val="0"/>
              <w:spacing w:before="60" w:after="60"/>
              <w:rPr>
                <w:color w:val="231F20"/>
                <w:sz w:val="20"/>
              </w:rPr>
            </w:pPr>
            <w:r w:rsidRPr="00366EEE">
              <w:rPr>
                <w:b/>
                <w:color w:val="231F20"/>
                <w:sz w:val="20"/>
              </w:rPr>
              <w:t>PRO</w:t>
            </w:r>
            <w:r w:rsidRPr="00366EEE">
              <w:rPr>
                <w:color w:val="231F20"/>
                <w:sz w:val="20"/>
              </w:rPr>
              <w:t xml:space="preserve">: Study focused on adult patients who were admitted into the medical </w:t>
            </w:r>
            <w:r w:rsidR="00FC49D6">
              <w:rPr>
                <w:color w:val="231F20"/>
                <w:sz w:val="20"/>
              </w:rPr>
              <w:t>ICU</w:t>
            </w:r>
            <w:r w:rsidRPr="00366EEE">
              <w:rPr>
                <w:color w:val="231F20"/>
                <w:sz w:val="20"/>
              </w:rPr>
              <w:t xml:space="preserve">. Findings showed that the use of protocol-directed sedation could reduce the mechanical ventilation, length of stay, and need for tracheostomy among critically ill patients with acute respiratory failure. </w:t>
            </w:r>
          </w:p>
        </w:tc>
      </w:tr>
    </w:tbl>
    <w:p w:rsidR="0055402B" w:rsidRPr="00366EEE" w:rsidRDefault="0055402B" w:rsidP="0055402B">
      <w:pPr>
        <w:spacing w:after="0"/>
        <w:rPr>
          <w:rFonts w:cs="Times New Roman"/>
          <w:b/>
          <w:i/>
          <w:kern w:val="28"/>
          <w:sz w:val="20"/>
          <w:szCs w:val="20"/>
        </w:rPr>
      </w:pPr>
    </w:p>
    <w:p w:rsidR="0055402B" w:rsidRPr="00366EEE" w:rsidRDefault="0055402B" w:rsidP="0055402B">
      <w:pPr>
        <w:spacing w:after="0"/>
        <w:rPr>
          <w:rFonts w:cs="Times New Roman"/>
          <w:b/>
          <w:bCs/>
          <w:i/>
          <w:sz w:val="20"/>
          <w:szCs w:val="20"/>
        </w:rPr>
      </w:pPr>
      <w:r w:rsidRPr="00366EEE">
        <w:rPr>
          <w:rFonts w:cs="Times New Roman"/>
          <w:b/>
          <w:i/>
          <w:sz w:val="20"/>
          <w:szCs w:val="20"/>
        </w:rPr>
        <w:br w:type="page"/>
      </w:r>
    </w:p>
    <w:p w:rsidR="0055402B" w:rsidRPr="00366EEE" w:rsidRDefault="0055402B" w:rsidP="0055402B">
      <w:pPr>
        <w:spacing w:after="0"/>
        <w:ind w:left="720"/>
        <w:rPr>
          <w:rFonts w:cs="Times New Roman"/>
          <w:b/>
          <w:bCs/>
          <w:i/>
          <w:sz w:val="28"/>
          <w:szCs w:val="20"/>
        </w:rPr>
      </w:pPr>
    </w:p>
    <w:p w:rsidR="0055402B" w:rsidRPr="00366EEE" w:rsidRDefault="0055402B" w:rsidP="0055402B">
      <w:pPr>
        <w:spacing w:after="0"/>
        <w:ind w:left="360"/>
        <w:rPr>
          <w:rFonts w:eastAsia="AdvPA05F" w:cs="Times New Roman"/>
          <w:b/>
          <w:bCs/>
          <w:i/>
          <w:color w:val="000000"/>
          <w:sz w:val="20"/>
          <w:szCs w:val="20"/>
        </w:rPr>
      </w:pPr>
    </w:p>
    <w:tbl>
      <w:tblPr>
        <w:tblStyle w:val="TableGrid"/>
        <w:tblW w:w="0" w:type="auto"/>
        <w:tblInd w:w="360" w:type="dxa"/>
        <w:tblLook w:val="04A0" w:firstRow="1" w:lastRow="0" w:firstColumn="1" w:lastColumn="0" w:noHBand="0" w:noVBand="1"/>
      </w:tblPr>
      <w:tblGrid>
        <w:gridCol w:w="3212"/>
        <w:gridCol w:w="6004"/>
      </w:tblGrid>
      <w:tr w:rsidR="0055402B" w:rsidRPr="00366EEE" w:rsidTr="0055402B">
        <w:tc>
          <w:tcPr>
            <w:tcW w:w="9216"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55402B" w:rsidRPr="00366EEE" w:rsidRDefault="0055402B">
            <w:pPr>
              <w:spacing w:before="60" w:after="60"/>
              <w:jc w:val="center"/>
              <w:rPr>
                <w:rFonts w:eastAsia="AdvPA05F" w:cs="Times New Roman"/>
                <w:b/>
                <w:i/>
                <w:color w:val="000000"/>
                <w:sz w:val="28"/>
                <w:szCs w:val="20"/>
              </w:rPr>
            </w:pPr>
            <w:r w:rsidRPr="00366EEE">
              <w:rPr>
                <w:b/>
                <w:sz w:val="28"/>
                <w:szCs w:val="28"/>
              </w:rPr>
              <w:t>Reviews and Meta-Analyses</w:t>
            </w:r>
          </w:p>
        </w:tc>
      </w:tr>
      <w:tr w:rsidR="0055402B" w:rsidRPr="00366EEE" w:rsidTr="0055402B">
        <w:tc>
          <w:tcPr>
            <w:tcW w:w="3212" w:type="dxa"/>
            <w:tcBorders>
              <w:top w:val="single" w:sz="4" w:space="0" w:color="auto"/>
              <w:left w:val="single" w:sz="4" w:space="0" w:color="auto"/>
              <w:bottom w:val="single" w:sz="4" w:space="0" w:color="auto"/>
              <w:right w:val="single" w:sz="4" w:space="0" w:color="auto"/>
            </w:tcBorders>
            <w:shd w:val="clear" w:color="auto" w:fill="E4EDF8"/>
            <w:vAlign w:val="center"/>
            <w:hideMark/>
          </w:tcPr>
          <w:p w:rsidR="0055402B" w:rsidRPr="00366EEE" w:rsidRDefault="0055402B">
            <w:pPr>
              <w:spacing w:before="60" w:after="60"/>
              <w:rPr>
                <w:rFonts w:eastAsia="AdvPA05F" w:cs="Times New Roman"/>
                <w:b/>
                <w:i/>
                <w:color w:val="000000"/>
                <w:szCs w:val="20"/>
              </w:rPr>
            </w:pPr>
            <w:r w:rsidRPr="00366EEE">
              <w:rPr>
                <w:b/>
              </w:rPr>
              <w:t>Study Type and Author</w:t>
            </w:r>
          </w:p>
        </w:tc>
        <w:tc>
          <w:tcPr>
            <w:tcW w:w="6004" w:type="dxa"/>
            <w:tcBorders>
              <w:top w:val="single" w:sz="4" w:space="0" w:color="auto"/>
              <w:left w:val="single" w:sz="4" w:space="0" w:color="auto"/>
              <w:bottom w:val="single" w:sz="4" w:space="0" w:color="auto"/>
              <w:right w:val="single" w:sz="4" w:space="0" w:color="auto"/>
            </w:tcBorders>
            <w:shd w:val="clear" w:color="auto" w:fill="E4EDF8"/>
            <w:vAlign w:val="center"/>
            <w:hideMark/>
          </w:tcPr>
          <w:p w:rsidR="0055402B" w:rsidRPr="00366EEE" w:rsidRDefault="0055402B">
            <w:pPr>
              <w:spacing w:before="60" w:after="60"/>
              <w:rPr>
                <w:rFonts w:eastAsia="AdvPA05F" w:cs="Times New Roman"/>
                <w:b/>
                <w:i/>
                <w:color w:val="000000"/>
                <w:szCs w:val="20"/>
              </w:rPr>
            </w:pPr>
            <w:r w:rsidRPr="00366EEE">
              <w:rPr>
                <w:b/>
              </w:rPr>
              <w:t>Results - Details in Annotated Bibliography</w:t>
            </w:r>
          </w:p>
        </w:tc>
      </w:tr>
      <w:tr w:rsidR="0055402B" w:rsidRPr="00366EEE" w:rsidTr="0055402B">
        <w:trPr>
          <w:trHeight w:val="1061"/>
        </w:trPr>
        <w:tc>
          <w:tcPr>
            <w:tcW w:w="3212" w:type="dxa"/>
            <w:tcBorders>
              <w:top w:val="single" w:sz="4" w:space="0" w:color="auto"/>
              <w:left w:val="single" w:sz="4" w:space="0" w:color="auto"/>
              <w:bottom w:val="single" w:sz="4" w:space="0" w:color="auto"/>
              <w:right w:val="single" w:sz="4" w:space="0" w:color="auto"/>
            </w:tcBorders>
            <w:vAlign w:val="center"/>
            <w:hideMark/>
          </w:tcPr>
          <w:p w:rsidR="0055402B" w:rsidRPr="00366EEE" w:rsidRDefault="0055402B">
            <w:pPr>
              <w:spacing w:before="60" w:after="60"/>
              <w:rPr>
                <w:rFonts w:eastAsia="Calibri"/>
                <w:sz w:val="20"/>
              </w:rPr>
            </w:pPr>
            <w:r w:rsidRPr="00366EEE">
              <w:rPr>
                <w:sz w:val="20"/>
              </w:rPr>
              <w:t>Guidelines for PAD Management</w:t>
            </w:r>
          </w:p>
          <w:p w:rsidR="0055402B" w:rsidRPr="00366EEE" w:rsidRDefault="0055402B">
            <w:pPr>
              <w:spacing w:before="60" w:after="60"/>
              <w:rPr>
                <w:sz w:val="20"/>
              </w:rPr>
            </w:pPr>
            <w:r w:rsidRPr="00366EEE">
              <w:rPr>
                <w:sz w:val="20"/>
              </w:rPr>
              <w:t>(Barr, 2013)</w:t>
            </w:r>
            <w:r w:rsidRPr="00366EEE">
              <w:rPr>
                <w:sz w:val="20"/>
              </w:rPr>
              <w:fldChar w:fldCharType="begin"/>
            </w:r>
            <w:r w:rsidRPr="00366EEE">
              <w:rPr>
                <w:sz w:val="20"/>
              </w:rPr>
              <w:instrText>ADDIN RW.CITE{{886 Barr,J. 2013}}</w:instrText>
            </w:r>
            <w:r w:rsidRPr="00366EEE">
              <w:rPr>
                <w:sz w:val="20"/>
              </w:rPr>
              <w:fldChar w:fldCharType="separate"/>
            </w:r>
            <w:r w:rsidRPr="00366EEE">
              <w:rPr>
                <w:sz w:val="20"/>
                <w:vertAlign w:val="superscript"/>
              </w:rPr>
              <w:t>19</w:t>
            </w:r>
            <w:r w:rsidRPr="00366EEE">
              <w:rPr>
                <w:sz w:val="20"/>
              </w:rPr>
              <w:fldChar w:fldCharType="end"/>
            </w:r>
            <w:r w:rsidRPr="00366EEE">
              <w:rPr>
                <w:sz w:val="20"/>
                <w:vertAlign w:val="superscript"/>
              </w:rPr>
              <w:t xml:space="preserve"> </w:t>
            </w:r>
          </w:p>
        </w:tc>
        <w:tc>
          <w:tcPr>
            <w:tcW w:w="6004"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i/>
                <w:sz w:val="20"/>
              </w:rPr>
            </w:pPr>
            <w:r w:rsidRPr="00366EEE">
              <w:rPr>
                <w:color w:val="000000"/>
                <w:sz w:val="20"/>
                <w:shd w:val="clear" w:color="auto" w:fill="FFFFFF"/>
              </w:rPr>
              <w:t>These guidelines provide a roadmap for developing integrated, evidence-based, and patient-centered protocols for preventing and treating pain, agitation, and delirium in critically ill patients. The use of SATs or light sedation and SBTs are supported by these guidelines.</w:t>
            </w:r>
          </w:p>
        </w:tc>
      </w:tr>
      <w:tr w:rsidR="0055402B" w:rsidRPr="00366EEE" w:rsidTr="0055402B">
        <w:tc>
          <w:tcPr>
            <w:tcW w:w="3212"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Review</w:t>
            </w:r>
          </w:p>
          <w:p w:rsidR="0055402B" w:rsidRPr="00366EEE" w:rsidRDefault="0055402B">
            <w:pPr>
              <w:spacing w:before="60" w:after="60"/>
              <w:rPr>
                <w:sz w:val="20"/>
              </w:rPr>
            </w:pPr>
            <w:r w:rsidRPr="00366EEE">
              <w:rPr>
                <w:sz w:val="20"/>
              </w:rPr>
              <w:t>(Luetz, 2012</w:t>
            </w:r>
            <w:r w:rsidRPr="00366EEE">
              <w:rPr>
                <w:sz w:val="20"/>
                <w:szCs w:val="20"/>
              </w:rPr>
              <w:t>)</w:t>
            </w:r>
            <w:r w:rsidRPr="00366EEE">
              <w:rPr>
                <w:sz w:val="20"/>
                <w:szCs w:val="20"/>
              </w:rPr>
              <w:fldChar w:fldCharType="begin"/>
            </w:r>
            <w:r w:rsidRPr="00366EEE">
              <w:rPr>
                <w:sz w:val="20"/>
                <w:szCs w:val="20"/>
              </w:rPr>
              <w:instrText>ADDIN RW.CITE{{374 Luetz, A. 2012}}</w:instrText>
            </w:r>
            <w:r w:rsidRPr="00366EEE">
              <w:rPr>
                <w:sz w:val="20"/>
                <w:szCs w:val="20"/>
              </w:rPr>
              <w:fldChar w:fldCharType="separate"/>
            </w:r>
            <w:r w:rsidRPr="00366EEE">
              <w:rPr>
                <w:sz w:val="20"/>
                <w:vertAlign w:val="superscript"/>
              </w:rPr>
              <w:t>2</w:t>
            </w:r>
            <w:r w:rsidRPr="00366EEE">
              <w:rPr>
                <w:sz w:val="20"/>
                <w:szCs w:val="20"/>
              </w:rPr>
              <w:fldChar w:fldCharType="end"/>
            </w:r>
          </w:p>
        </w:tc>
        <w:tc>
          <w:tcPr>
            <w:tcW w:w="6004" w:type="dxa"/>
            <w:tcBorders>
              <w:top w:val="single" w:sz="4" w:space="0" w:color="auto"/>
              <w:left w:val="single" w:sz="4" w:space="0" w:color="auto"/>
              <w:bottom w:val="single" w:sz="4" w:space="0" w:color="auto"/>
              <w:right w:val="single" w:sz="4" w:space="0" w:color="auto"/>
            </w:tcBorders>
            <w:hideMark/>
          </w:tcPr>
          <w:p w:rsidR="0055402B" w:rsidRPr="00366EEE" w:rsidRDefault="0055402B" w:rsidP="00FC49D6">
            <w:pPr>
              <w:autoSpaceDE w:val="0"/>
              <w:autoSpaceDN w:val="0"/>
              <w:spacing w:before="60" w:after="60"/>
              <w:rPr>
                <w:b/>
                <w:sz w:val="20"/>
              </w:rPr>
            </w:pPr>
            <w:r w:rsidRPr="00366EEE">
              <w:rPr>
                <w:sz w:val="20"/>
                <w:szCs w:val="20"/>
              </w:rPr>
              <w:t>R</w:t>
            </w:r>
            <w:r w:rsidRPr="00366EEE">
              <w:rPr>
                <w:color w:val="000000"/>
                <w:sz w:val="20"/>
                <w:szCs w:val="20"/>
                <w:shd w:val="clear" w:color="auto" w:fill="FFFFFF"/>
              </w:rPr>
              <w:t>eviewed the findings of 14 articles to recommend that weaning should be considered as early as possible; a daily screening for readiness to wean should be implemented; and</w:t>
            </w:r>
            <w:r w:rsidR="00FC49D6">
              <w:rPr>
                <w:color w:val="000000"/>
                <w:sz w:val="20"/>
                <w:szCs w:val="20"/>
                <w:shd w:val="clear" w:color="auto" w:fill="FFFFFF"/>
              </w:rPr>
              <w:t xml:space="preserve"> a</w:t>
            </w:r>
            <w:r w:rsidR="007F6F80">
              <w:rPr>
                <w:color w:val="000000"/>
                <w:sz w:val="20"/>
                <w:szCs w:val="20"/>
                <w:shd w:val="clear" w:color="auto" w:fill="FFFFFF"/>
              </w:rPr>
              <w:t xml:space="preserve"> weaning protocol including an </w:t>
            </w:r>
            <w:r w:rsidR="00FC49D6">
              <w:rPr>
                <w:color w:val="000000"/>
                <w:sz w:val="20"/>
                <w:szCs w:val="20"/>
                <w:shd w:val="clear" w:color="auto" w:fill="FFFFFF"/>
              </w:rPr>
              <w:t>SBT</w:t>
            </w:r>
            <w:r w:rsidRPr="00366EEE">
              <w:rPr>
                <w:color w:val="000000"/>
                <w:sz w:val="20"/>
                <w:szCs w:val="20"/>
                <w:shd w:val="clear" w:color="auto" w:fill="FFFFFF"/>
              </w:rPr>
              <w:t xml:space="preserve"> should be used.</w:t>
            </w:r>
            <w:r w:rsidRPr="00366EEE">
              <w:rPr>
                <w:sz w:val="20"/>
                <w:szCs w:val="20"/>
              </w:rPr>
              <w:t xml:space="preserve"> </w:t>
            </w:r>
          </w:p>
        </w:tc>
      </w:tr>
      <w:tr w:rsidR="0055402B" w:rsidRPr="00366EEE" w:rsidTr="0055402B">
        <w:tc>
          <w:tcPr>
            <w:tcW w:w="3212" w:type="dxa"/>
            <w:tcBorders>
              <w:top w:val="single" w:sz="4" w:space="0" w:color="auto"/>
              <w:left w:val="single" w:sz="4" w:space="0" w:color="auto"/>
              <w:bottom w:val="single" w:sz="4" w:space="0" w:color="auto"/>
              <w:right w:val="single" w:sz="4" w:space="0" w:color="auto"/>
            </w:tcBorders>
            <w:hideMark/>
          </w:tcPr>
          <w:p w:rsidR="0055402B" w:rsidRPr="00366EEE" w:rsidRDefault="0055402B">
            <w:pPr>
              <w:spacing w:before="60" w:after="60"/>
              <w:rPr>
                <w:sz w:val="20"/>
              </w:rPr>
            </w:pPr>
            <w:r w:rsidRPr="00366EEE">
              <w:rPr>
                <w:sz w:val="20"/>
              </w:rPr>
              <w:t>Clinical Review</w:t>
            </w:r>
          </w:p>
          <w:p w:rsidR="0055402B" w:rsidRPr="00366EEE" w:rsidRDefault="0055402B">
            <w:pPr>
              <w:spacing w:before="60" w:after="60"/>
              <w:rPr>
                <w:sz w:val="20"/>
              </w:rPr>
            </w:pPr>
            <w:r w:rsidRPr="00366EEE">
              <w:rPr>
                <w:sz w:val="20"/>
              </w:rPr>
              <w:t>(Patel, 2012)</w:t>
            </w:r>
            <w:r w:rsidRPr="00366EEE">
              <w:rPr>
                <w:sz w:val="20"/>
                <w:vertAlign w:val="superscript"/>
              </w:rPr>
              <w:fldChar w:fldCharType="begin"/>
            </w:r>
            <w:r w:rsidRPr="00366EEE">
              <w:rPr>
                <w:sz w:val="20"/>
                <w:vertAlign w:val="superscript"/>
              </w:rPr>
              <w:instrText>ADDIN RW.CITE{{887 Patel,S.B. 2012}}</w:instrText>
            </w:r>
            <w:r w:rsidRPr="00366EEE">
              <w:rPr>
                <w:sz w:val="20"/>
                <w:vertAlign w:val="superscript"/>
              </w:rPr>
              <w:fldChar w:fldCharType="separate"/>
            </w:r>
            <w:r w:rsidRPr="00366EEE">
              <w:rPr>
                <w:sz w:val="20"/>
                <w:vertAlign w:val="superscript"/>
              </w:rPr>
              <w:t>20</w:t>
            </w:r>
            <w:r w:rsidRPr="00366EEE">
              <w:rPr>
                <w:sz w:val="20"/>
                <w:vertAlign w:val="superscript"/>
              </w:rPr>
              <w:fldChar w:fldCharType="end"/>
            </w:r>
            <w:r w:rsidRPr="00366EEE">
              <w:rPr>
                <w:sz w:val="20"/>
                <w:szCs w:val="20"/>
              </w:rPr>
              <w:t xml:space="preserve"> </w:t>
            </w:r>
          </w:p>
        </w:tc>
        <w:tc>
          <w:tcPr>
            <w:tcW w:w="6004"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b/>
                <w:sz w:val="20"/>
                <w:szCs w:val="20"/>
              </w:rPr>
            </w:pPr>
            <w:r w:rsidRPr="00366EEE">
              <w:rPr>
                <w:sz w:val="20"/>
                <w:szCs w:val="20"/>
              </w:rPr>
              <w:t xml:space="preserve">Review </w:t>
            </w:r>
            <w:r w:rsidRPr="00366EEE">
              <w:rPr>
                <w:color w:val="000000"/>
                <w:sz w:val="20"/>
                <w:szCs w:val="20"/>
                <w:shd w:val="clear" w:color="auto" w:fill="FFFFFF"/>
              </w:rPr>
              <w:t>states that sedation and analgesia are important components of care of the mechanically ventilated patient in the ICU. Objective assessments of pain, sedation, and agitation have been validated for use in the ICU for assessment and titration of medications. An evidence-based strategy for administering these drugs can lead to improvements in short- and long-term outcomes of the mechanically ventilated patient.</w:t>
            </w:r>
          </w:p>
        </w:tc>
      </w:tr>
      <w:tr w:rsidR="0055402B" w:rsidRPr="00366EEE" w:rsidTr="0055402B">
        <w:tc>
          <w:tcPr>
            <w:tcW w:w="3212" w:type="dxa"/>
            <w:tcBorders>
              <w:top w:val="single" w:sz="4" w:space="0" w:color="auto"/>
              <w:left w:val="single" w:sz="4" w:space="0" w:color="auto"/>
              <w:bottom w:val="single" w:sz="4" w:space="0" w:color="auto"/>
              <w:right w:val="single" w:sz="4" w:space="0" w:color="auto"/>
            </w:tcBorders>
          </w:tcPr>
          <w:p w:rsidR="0055402B" w:rsidRPr="00366EEE" w:rsidRDefault="0055402B">
            <w:pPr>
              <w:spacing w:before="60" w:after="60"/>
              <w:rPr>
                <w:sz w:val="20"/>
              </w:rPr>
            </w:pPr>
            <w:r w:rsidRPr="00366EEE">
              <w:rPr>
                <w:sz w:val="20"/>
              </w:rPr>
              <w:t>Systematic Review</w:t>
            </w:r>
          </w:p>
          <w:p w:rsidR="0055402B" w:rsidRPr="00366EEE" w:rsidRDefault="0055402B">
            <w:pPr>
              <w:spacing w:before="60" w:after="60"/>
              <w:rPr>
                <w:sz w:val="20"/>
                <w:szCs w:val="20"/>
              </w:rPr>
            </w:pPr>
            <w:r w:rsidRPr="00366EEE">
              <w:rPr>
                <w:sz w:val="20"/>
              </w:rPr>
              <w:t>(Blackwood, 2011</w:t>
            </w:r>
            <w:r w:rsidRPr="00366EEE">
              <w:rPr>
                <w:sz w:val="20"/>
                <w:szCs w:val="20"/>
              </w:rPr>
              <w:t>)</w:t>
            </w:r>
            <w:r w:rsidRPr="00366EEE">
              <w:rPr>
                <w:sz w:val="20"/>
                <w:vertAlign w:val="superscript"/>
              </w:rPr>
              <w:fldChar w:fldCharType="begin"/>
            </w:r>
            <w:r w:rsidRPr="00366EEE">
              <w:rPr>
                <w:sz w:val="20"/>
                <w:vertAlign w:val="superscript"/>
              </w:rPr>
              <w:instrText>ADDIN RW.CITE{{375 Blackwood, B. 2011}}</w:instrText>
            </w:r>
            <w:r w:rsidRPr="00366EEE">
              <w:rPr>
                <w:sz w:val="20"/>
                <w:vertAlign w:val="superscript"/>
              </w:rPr>
              <w:fldChar w:fldCharType="separate"/>
            </w:r>
            <w:r w:rsidRPr="00366EEE">
              <w:rPr>
                <w:sz w:val="20"/>
                <w:vertAlign w:val="superscript"/>
              </w:rPr>
              <w:t>21</w:t>
            </w:r>
            <w:r w:rsidRPr="00366EEE">
              <w:rPr>
                <w:sz w:val="20"/>
                <w:vertAlign w:val="superscript"/>
              </w:rPr>
              <w:fldChar w:fldCharType="end"/>
            </w:r>
          </w:p>
          <w:p w:rsidR="0055402B" w:rsidRPr="00366EEE" w:rsidRDefault="0055402B">
            <w:pPr>
              <w:spacing w:before="60" w:after="60"/>
              <w:rPr>
                <w:sz w:val="20"/>
              </w:rPr>
            </w:pPr>
          </w:p>
        </w:tc>
        <w:tc>
          <w:tcPr>
            <w:tcW w:w="6004" w:type="dxa"/>
            <w:tcBorders>
              <w:top w:val="single" w:sz="4" w:space="0" w:color="auto"/>
              <w:left w:val="single" w:sz="4" w:space="0" w:color="auto"/>
              <w:bottom w:val="single" w:sz="4" w:space="0" w:color="auto"/>
              <w:right w:val="single" w:sz="4" w:space="0" w:color="auto"/>
            </w:tcBorders>
            <w:hideMark/>
          </w:tcPr>
          <w:p w:rsidR="0055402B" w:rsidRPr="00366EEE" w:rsidRDefault="0055402B">
            <w:pPr>
              <w:autoSpaceDE w:val="0"/>
              <w:autoSpaceDN w:val="0"/>
              <w:spacing w:before="60" w:after="60"/>
              <w:rPr>
                <w:b/>
                <w:sz w:val="20"/>
                <w:szCs w:val="20"/>
              </w:rPr>
            </w:pPr>
            <w:r w:rsidRPr="00366EEE">
              <w:rPr>
                <w:sz w:val="20"/>
                <w:szCs w:val="20"/>
              </w:rPr>
              <w:t>Review</w:t>
            </w:r>
            <w:r w:rsidRPr="00366EEE">
              <w:rPr>
                <w:color w:val="000000"/>
                <w:sz w:val="20"/>
                <w:szCs w:val="20"/>
                <w:shd w:val="clear" w:color="auto" w:fill="FFFFFF"/>
              </w:rPr>
              <w:t xml:space="preserve"> focused on 11 RCTs that evaluated the effect of weaning protocols on the duration of mechanical ventilation in 1,971</w:t>
            </w:r>
            <w:r w:rsidR="00FC49D6">
              <w:rPr>
                <w:color w:val="000000"/>
                <w:sz w:val="20"/>
                <w:szCs w:val="20"/>
                <w:shd w:val="clear" w:color="auto" w:fill="FFFFFF"/>
              </w:rPr>
              <w:t xml:space="preserve"> critically ill patients in ICU</w:t>
            </w:r>
            <w:r w:rsidRPr="00366EEE">
              <w:rPr>
                <w:color w:val="000000"/>
                <w:sz w:val="20"/>
                <w:szCs w:val="20"/>
                <w:shd w:val="clear" w:color="auto" w:fill="FFFFFF"/>
              </w:rPr>
              <w:t xml:space="preserve">s. Study findings showed that weaning protocol was associated with significant reduction for duration of mechanical ventilation, length of weaning, and length of stay in the ICU. </w:t>
            </w:r>
          </w:p>
        </w:tc>
      </w:tr>
    </w:tbl>
    <w:p w:rsidR="0055402B" w:rsidRPr="00366EEE" w:rsidRDefault="0055402B" w:rsidP="0055402B">
      <w:pPr>
        <w:spacing w:after="0"/>
        <w:rPr>
          <w:rFonts w:cs="Times New Roman"/>
          <w:szCs w:val="24"/>
        </w:rPr>
      </w:pPr>
      <w:r w:rsidRPr="00366EEE">
        <w:rPr>
          <w:rFonts w:cs="Times New Roman"/>
          <w:b/>
          <w:i/>
          <w:sz w:val="20"/>
          <w:szCs w:val="20"/>
        </w:rPr>
        <w:br w:type="page"/>
      </w:r>
    </w:p>
    <w:p w:rsidR="0055402B" w:rsidRPr="00366EEE" w:rsidRDefault="0055402B" w:rsidP="0055402B">
      <w:pPr>
        <w:sectPr w:rsidR="0055402B" w:rsidRPr="00366EEE" w:rsidSect="003A4677">
          <w:headerReference w:type="default" r:id="rId13"/>
          <w:footerReference w:type="default" r:id="rId14"/>
          <w:pgSz w:w="12240" w:h="15840"/>
          <w:pgMar w:top="1440" w:right="1440" w:bottom="1296" w:left="1440" w:header="0" w:footer="720" w:gutter="0"/>
          <w:cols w:space="720"/>
          <w:docGrid w:linePitch="360"/>
        </w:sectPr>
      </w:pPr>
    </w:p>
    <w:p w:rsidR="00366EEE" w:rsidRPr="00366EEE" w:rsidRDefault="00366EEE" w:rsidP="008B2CC4">
      <w:pPr>
        <w:pStyle w:val="Heading2"/>
      </w:pPr>
      <w:r w:rsidRPr="00366EEE">
        <w:lastRenderedPageBreak/>
        <w:t>Annotated Bibliography</w:t>
      </w:r>
    </w:p>
    <w:p w:rsidR="00B9233E" w:rsidRPr="00366EEE" w:rsidRDefault="005A4C82" w:rsidP="00B9233E">
      <w:pPr>
        <w:pStyle w:val="ListParagraph"/>
        <w:spacing w:before="120"/>
        <w:ind w:left="0"/>
        <w:rPr>
          <w:bCs/>
          <w:sz w:val="20"/>
          <w:szCs w:val="20"/>
        </w:rPr>
      </w:pPr>
      <w:r>
        <w:rPr>
          <w:sz w:val="20"/>
          <w:szCs w:val="20"/>
        </w:rPr>
        <w:t xml:space="preserve">1. </w:t>
      </w:r>
      <w:r w:rsidR="0055402B" w:rsidRPr="00B9233E">
        <w:rPr>
          <w:sz w:val="20"/>
          <w:szCs w:val="20"/>
        </w:rPr>
        <w:t>Girard TD, Kress JP, Fuchs BD, et al. Efficacy and safety of a paired sedation and ventilator weaning protocol for mechanically ventilated patients in intensive care (awakening and breathing controlled trial): A randomi</w:t>
      </w:r>
      <w:r w:rsidR="00016129">
        <w:rPr>
          <w:sz w:val="20"/>
          <w:szCs w:val="20"/>
        </w:rPr>
        <w:t>z</w:t>
      </w:r>
      <w:r w:rsidR="0055402B" w:rsidRPr="00B9233E">
        <w:rPr>
          <w:sz w:val="20"/>
          <w:szCs w:val="20"/>
        </w:rPr>
        <w:t>ed controlled trial. Lancet. 2008</w:t>
      </w:r>
      <w:r w:rsidR="00016129">
        <w:rPr>
          <w:sz w:val="20"/>
          <w:szCs w:val="20"/>
        </w:rPr>
        <w:t xml:space="preserve"> Jan</w:t>
      </w:r>
      <w:r w:rsidR="0055402B" w:rsidRPr="00B9233E">
        <w:rPr>
          <w:sz w:val="20"/>
          <w:szCs w:val="20"/>
        </w:rPr>
        <w:t>;</w:t>
      </w:r>
      <w:r w:rsidR="00DE3980">
        <w:rPr>
          <w:sz w:val="20"/>
          <w:szCs w:val="20"/>
        </w:rPr>
        <w:t>371(9607):126-</w:t>
      </w:r>
      <w:r w:rsidR="0055402B" w:rsidRPr="00B9233E">
        <w:rPr>
          <w:sz w:val="20"/>
          <w:szCs w:val="20"/>
        </w:rPr>
        <w:t>34.</w:t>
      </w:r>
      <w:r w:rsidR="00016129">
        <w:rPr>
          <w:sz w:val="20"/>
          <w:szCs w:val="20"/>
        </w:rPr>
        <w:t xml:space="preserve"> PMID: 18191664.</w:t>
      </w:r>
    </w:p>
    <w:p w:rsidR="0055402B" w:rsidRPr="00366EEE" w:rsidRDefault="0055402B" w:rsidP="00B9233E">
      <w:pPr>
        <w:tabs>
          <w:tab w:val="left" w:pos="270"/>
        </w:tabs>
        <w:rPr>
          <w:sz w:val="20"/>
          <w:szCs w:val="20"/>
        </w:rPr>
      </w:pPr>
      <w:r w:rsidRPr="00B9233E">
        <w:rPr>
          <w:b/>
          <w:sz w:val="20"/>
          <w:szCs w:val="20"/>
        </w:rPr>
        <w:t>PRO:</w:t>
      </w:r>
      <w:r w:rsidRPr="00366EEE">
        <w:rPr>
          <w:sz w:val="20"/>
          <w:szCs w:val="20"/>
        </w:rPr>
        <w:t xml:space="preserve"> Study focused on adult mechanically ventilated patients in the intensive care unit who required ventilation for 12 hours or more. </w:t>
      </w:r>
      <w:r w:rsidR="00B71AC6">
        <w:rPr>
          <w:sz w:val="20"/>
          <w:szCs w:val="20"/>
        </w:rPr>
        <w:t xml:space="preserve">Patients were randomized to management with a daily SAT followed by an SBT (n=168) or with sedation per usual care plus a daily SBT (n=168). </w:t>
      </w:r>
      <w:r w:rsidR="00F223AE" w:rsidRPr="00E67F00">
        <w:rPr>
          <w:b/>
          <w:sz w:val="20"/>
          <w:szCs w:val="20"/>
        </w:rPr>
        <w:t>Patients in the intervention group spent more days breathing without assis</w:t>
      </w:r>
      <w:r w:rsidR="00B71AC6" w:rsidRPr="00E67F00">
        <w:rPr>
          <w:b/>
          <w:sz w:val="20"/>
          <w:szCs w:val="20"/>
        </w:rPr>
        <w:t>t</w:t>
      </w:r>
      <w:r w:rsidR="00F223AE" w:rsidRPr="00E67F00">
        <w:rPr>
          <w:b/>
          <w:sz w:val="20"/>
          <w:szCs w:val="20"/>
        </w:rPr>
        <w:t xml:space="preserve">ance during the study period than did those is the control group (14.7 days vs 11.6 days; mean difference 3.1 days, 95% Ci 0.7 to 5.6: p=0.02. Intervention group patients were discharged from the ICU earlier (median time in the ICU 9.1 days vs 12.9 days; p=0.01) as well as from the hospital (median time in the hospital 14.9 days vs 19.2 days; p=0.04). At any instant during the year after enrollment, patients in the intervention group were less likely to die than were patients in the control group (HR 0.68, 95% CI 0.50 to 0.92; p-0.01). For every seven patients treated with the intervention, one life was saved (number needed to treat was 7.4, 95% CI 4.2 to 35.5). </w:t>
      </w:r>
      <w:r w:rsidRPr="00366EEE">
        <w:rPr>
          <w:sz w:val="20"/>
          <w:szCs w:val="20"/>
        </w:rPr>
        <w:t>Findings show that a paired sedation and weaning protocol consisting of daily spontaneous awakening trials (SATs) plus spontaneous breathing trials (SBTs) were better at reducing length of mechanical ventilation, length of stay and one year mortality.</w:t>
      </w:r>
    </w:p>
    <w:p w:rsidR="0055402B" w:rsidRDefault="00B9233E" w:rsidP="00995F5E">
      <w:pPr>
        <w:contextualSpacing/>
        <w:rPr>
          <w:sz w:val="20"/>
          <w:szCs w:val="20"/>
        </w:rPr>
      </w:pPr>
      <w:r>
        <w:rPr>
          <w:sz w:val="20"/>
          <w:szCs w:val="20"/>
        </w:rPr>
        <w:t xml:space="preserve">2. </w:t>
      </w:r>
      <w:r w:rsidR="0055402B" w:rsidRPr="00B9233E">
        <w:rPr>
          <w:sz w:val="20"/>
          <w:szCs w:val="20"/>
        </w:rPr>
        <w:t xml:space="preserve">Luetz A, Goldman A, Weber-Castens S, </w:t>
      </w:r>
      <w:r w:rsidR="00016129">
        <w:rPr>
          <w:sz w:val="20"/>
          <w:szCs w:val="20"/>
        </w:rPr>
        <w:t>et al</w:t>
      </w:r>
      <w:r w:rsidR="0055402B" w:rsidRPr="00B9233E">
        <w:rPr>
          <w:sz w:val="20"/>
          <w:szCs w:val="20"/>
        </w:rPr>
        <w:t>. Weaning from mecha</w:t>
      </w:r>
      <w:r w:rsidRPr="00B9233E">
        <w:rPr>
          <w:sz w:val="20"/>
          <w:szCs w:val="20"/>
        </w:rPr>
        <w:t xml:space="preserve">nical ventilation and sedation. </w:t>
      </w:r>
      <w:r w:rsidR="00DE3980">
        <w:rPr>
          <w:sz w:val="20"/>
          <w:szCs w:val="20"/>
        </w:rPr>
        <w:t xml:space="preserve">Curr Opin Infect </w:t>
      </w:r>
      <w:r w:rsidR="0055402B" w:rsidRPr="00B9233E">
        <w:rPr>
          <w:sz w:val="20"/>
          <w:szCs w:val="20"/>
        </w:rPr>
        <w:t>Dis. 2012</w:t>
      </w:r>
      <w:r w:rsidR="00016129">
        <w:rPr>
          <w:sz w:val="20"/>
          <w:szCs w:val="20"/>
        </w:rPr>
        <w:t xml:space="preserve"> Apr</w:t>
      </w:r>
      <w:r w:rsidR="0055402B" w:rsidRPr="00B9233E">
        <w:rPr>
          <w:sz w:val="20"/>
          <w:szCs w:val="20"/>
        </w:rPr>
        <w:t>;25(2):164-9.</w:t>
      </w:r>
      <w:r w:rsidR="00016129">
        <w:rPr>
          <w:sz w:val="20"/>
          <w:szCs w:val="20"/>
        </w:rPr>
        <w:t xml:space="preserve"> PMID: 22246460.</w:t>
      </w:r>
    </w:p>
    <w:p w:rsidR="00B9233E" w:rsidRPr="00366EEE" w:rsidRDefault="00B9233E" w:rsidP="00995F5E">
      <w:pPr>
        <w:contextualSpacing/>
        <w:rPr>
          <w:sz w:val="20"/>
          <w:szCs w:val="20"/>
        </w:rPr>
      </w:pPr>
    </w:p>
    <w:p w:rsidR="0055402B" w:rsidRDefault="0055402B" w:rsidP="00995F5E">
      <w:pPr>
        <w:tabs>
          <w:tab w:val="left" w:pos="270"/>
        </w:tabs>
        <w:rPr>
          <w:sz w:val="20"/>
          <w:szCs w:val="20"/>
        </w:rPr>
      </w:pPr>
      <w:r w:rsidRPr="00B9233E">
        <w:rPr>
          <w:b/>
          <w:sz w:val="20"/>
          <w:szCs w:val="20"/>
        </w:rPr>
        <w:t>PRO:</w:t>
      </w:r>
      <w:r w:rsidRPr="00366EEE">
        <w:rPr>
          <w:sz w:val="20"/>
          <w:szCs w:val="20"/>
        </w:rPr>
        <w:t xml:space="preserve"> Literature </w:t>
      </w:r>
      <w:r w:rsidR="00521E7E">
        <w:rPr>
          <w:sz w:val="20"/>
          <w:szCs w:val="20"/>
        </w:rPr>
        <w:t>r</w:t>
      </w:r>
      <w:r w:rsidRPr="00366EEE">
        <w:rPr>
          <w:sz w:val="20"/>
          <w:szCs w:val="20"/>
        </w:rPr>
        <w:t>eview. Article focused on the findings of 14 articles to recommend that weaning should be considered as early as possible; a daily screening for readiness to wean should be implemented; and</w:t>
      </w:r>
      <w:r w:rsidR="007F6F80">
        <w:rPr>
          <w:sz w:val="20"/>
          <w:szCs w:val="20"/>
        </w:rPr>
        <w:t xml:space="preserve"> a weaning protocol including an SBT </w:t>
      </w:r>
      <w:r w:rsidRPr="00366EEE">
        <w:rPr>
          <w:sz w:val="20"/>
          <w:szCs w:val="20"/>
        </w:rPr>
        <w:t>should be used.</w:t>
      </w:r>
    </w:p>
    <w:p w:rsidR="0055402B" w:rsidRDefault="00B9233E" w:rsidP="00995F5E">
      <w:pPr>
        <w:contextualSpacing/>
        <w:rPr>
          <w:sz w:val="20"/>
          <w:szCs w:val="20"/>
        </w:rPr>
      </w:pPr>
      <w:r>
        <w:rPr>
          <w:sz w:val="20"/>
          <w:szCs w:val="20"/>
        </w:rPr>
        <w:t xml:space="preserve">3. </w:t>
      </w:r>
      <w:r w:rsidR="0055402B" w:rsidRPr="00B9233E">
        <w:rPr>
          <w:sz w:val="20"/>
          <w:szCs w:val="20"/>
        </w:rPr>
        <w:t>Mehta S, Burry L, Cook D, et al. Daily sedation interruption in mechanically ventilated critically ill patients cared for with a sedation protocol: A randomized controlled trial. JAMA. 2012</w:t>
      </w:r>
      <w:r w:rsidR="00016129">
        <w:rPr>
          <w:sz w:val="20"/>
          <w:szCs w:val="20"/>
        </w:rPr>
        <w:t xml:space="preserve"> Nov</w:t>
      </w:r>
      <w:r w:rsidR="00DE3980">
        <w:rPr>
          <w:sz w:val="20"/>
          <w:szCs w:val="20"/>
        </w:rPr>
        <w:t>;308(19):1985-</w:t>
      </w:r>
      <w:r w:rsidR="0055402B" w:rsidRPr="00B9233E">
        <w:rPr>
          <w:sz w:val="20"/>
          <w:szCs w:val="20"/>
        </w:rPr>
        <w:t>92.</w:t>
      </w:r>
      <w:r w:rsidR="00016129">
        <w:rPr>
          <w:sz w:val="20"/>
          <w:szCs w:val="20"/>
        </w:rPr>
        <w:t xml:space="preserve"> PMID: 23180503.</w:t>
      </w:r>
    </w:p>
    <w:p w:rsidR="00995F5E" w:rsidRPr="00366EEE" w:rsidRDefault="00995F5E" w:rsidP="00995F5E">
      <w:pPr>
        <w:contextualSpacing/>
        <w:rPr>
          <w:sz w:val="20"/>
          <w:szCs w:val="20"/>
        </w:rPr>
      </w:pPr>
    </w:p>
    <w:p w:rsidR="0055402B" w:rsidRPr="00366EEE" w:rsidRDefault="0055402B" w:rsidP="00995F5E">
      <w:pPr>
        <w:tabs>
          <w:tab w:val="left" w:pos="270"/>
        </w:tabs>
        <w:rPr>
          <w:sz w:val="20"/>
          <w:szCs w:val="20"/>
        </w:rPr>
      </w:pPr>
      <w:r w:rsidRPr="00B9233E">
        <w:rPr>
          <w:b/>
          <w:sz w:val="20"/>
          <w:szCs w:val="20"/>
        </w:rPr>
        <w:t>CON:</w:t>
      </w:r>
      <w:r w:rsidRPr="00366EEE">
        <w:rPr>
          <w:sz w:val="20"/>
          <w:szCs w:val="20"/>
        </w:rPr>
        <w:t xml:space="preserve"> Randomized controlled trial (RCT) of 430 critically ill, mechanically ventilated adults in 16 tertiary care medical and surgical intensive care units (ICUs) in the United States and Canada. Patients were randomized to protocolized sedation or protocolized sedation plus daily sedation interruption. </w:t>
      </w:r>
      <w:r w:rsidRPr="00E67F00">
        <w:rPr>
          <w:b/>
          <w:sz w:val="20"/>
          <w:szCs w:val="20"/>
        </w:rPr>
        <w:t xml:space="preserve">Results: </w:t>
      </w:r>
      <w:r w:rsidRPr="00F3052E">
        <w:rPr>
          <w:b/>
          <w:sz w:val="20"/>
          <w:szCs w:val="20"/>
        </w:rPr>
        <w:t xml:space="preserve">Median time to successful extubation was 7 days in both the interruption and control groups (median [interquartile range (IQR)], 7 [4–13] vs. 7 [3–12]; interruption group hazard ratio, 1.08; 95% confidence interval [CI], 0.86–1.35; p=0.52). Duration of </w:t>
      </w:r>
      <w:r w:rsidR="007F6F80" w:rsidRPr="00F3052E">
        <w:rPr>
          <w:b/>
          <w:sz w:val="20"/>
          <w:szCs w:val="20"/>
        </w:rPr>
        <w:t>intensive care unit [</w:t>
      </w:r>
      <w:r w:rsidRPr="00F3052E">
        <w:rPr>
          <w:b/>
          <w:sz w:val="20"/>
          <w:szCs w:val="20"/>
        </w:rPr>
        <w:t>ICU</w:t>
      </w:r>
      <w:r w:rsidR="007F6F80" w:rsidRPr="00F3052E">
        <w:rPr>
          <w:b/>
          <w:sz w:val="20"/>
          <w:szCs w:val="20"/>
        </w:rPr>
        <w:t>]</w:t>
      </w:r>
      <w:r w:rsidRPr="00F3052E">
        <w:rPr>
          <w:b/>
          <w:sz w:val="20"/>
          <w:szCs w:val="20"/>
        </w:rPr>
        <w:t xml:space="preserve"> stay (median [IQR], 10 [5–17] days vs. 10 [6–20] days; p=0.36) and hospital stay (median [IQR], 20 [10–36] days vs. 20 [10–48] days; p=0.42) did not differ between the daily interruption and control groups, respectively. Daily interruption was associated with higher mean daily doses of midazolam (102 mg/d vs. 82 mg/d; p=0.04) and fentanyl (median [IQR], 550 [50–1850] vs. 260 [0–1400]; p=0.001) and more daily boluses of benzodiazepines (mean, 0.253 vs. 0.177; p=0.007) and opiates (mean, 2.18 vs. 1.79; p=0.001). Unintentional endotracheal tube removal occurred in 10 of 214 (4.7%) versus 12 of 207 patients (5.8%) in the interruption and control groups, respectively (relative risk</w:t>
      </w:r>
      <w:r w:rsidR="007F6F80" w:rsidRPr="00F3052E">
        <w:rPr>
          <w:b/>
          <w:sz w:val="20"/>
          <w:szCs w:val="20"/>
        </w:rPr>
        <w:t xml:space="preserve"> [RR]</w:t>
      </w:r>
      <w:r w:rsidRPr="00F3052E">
        <w:rPr>
          <w:b/>
          <w:sz w:val="20"/>
          <w:szCs w:val="20"/>
        </w:rPr>
        <w:t>, 0.82; 95% CI, 0.36–1.84; p=0.64). Rates of delirium were not significantly different between groups</w:t>
      </w:r>
      <w:r w:rsidR="007F6F80" w:rsidRPr="00F3052E">
        <w:rPr>
          <w:b/>
          <w:sz w:val="20"/>
          <w:szCs w:val="20"/>
        </w:rPr>
        <w:t xml:space="preserve"> (53.3% vs. 54.1%; RR</w:t>
      </w:r>
      <w:r w:rsidRPr="00F3052E">
        <w:rPr>
          <w:b/>
          <w:sz w:val="20"/>
          <w:szCs w:val="20"/>
        </w:rPr>
        <w:t>, 0.98; 95% CI, 0.82–1.17; p=0.83).</w:t>
      </w:r>
      <w:r w:rsidRPr="006A4D92">
        <w:rPr>
          <w:b/>
          <w:sz w:val="20"/>
          <w:szCs w:val="20"/>
        </w:rPr>
        <w:t xml:space="preserve"> Nurse workload was greater in the interrupti</w:t>
      </w:r>
      <w:r w:rsidR="007F6F80" w:rsidRPr="006A4D92">
        <w:rPr>
          <w:b/>
          <w:sz w:val="20"/>
          <w:szCs w:val="20"/>
        </w:rPr>
        <w:t>on group (visual analog scale</w:t>
      </w:r>
      <w:r w:rsidRPr="006A4D92">
        <w:rPr>
          <w:b/>
          <w:sz w:val="20"/>
          <w:szCs w:val="20"/>
        </w:rPr>
        <w:t xml:space="preserve"> score, 4.22 vs. 3.80; mean difference, 0.41; 95% CI, 0.17–0.66; p=0.001). </w:t>
      </w:r>
      <w:r w:rsidRPr="00B71AC6">
        <w:rPr>
          <w:sz w:val="20"/>
          <w:szCs w:val="20"/>
        </w:rPr>
        <w:t>Patients managed with protocolized sedation and a daily sedation interruption did not have any significant differen</w:t>
      </w:r>
      <w:r w:rsidRPr="00366EEE">
        <w:rPr>
          <w:sz w:val="20"/>
          <w:szCs w:val="20"/>
        </w:rPr>
        <w:t>ces in duration of mechanical ventilation or length of ICU stay.  However, as stated above, the use of midazolam, fentanyl, benzodiazepines, and opioids increased in the patients with daily sedation interruption.</w:t>
      </w:r>
    </w:p>
    <w:p w:rsidR="0055402B" w:rsidRPr="00366EEE" w:rsidRDefault="0055402B" w:rsidP="0055402B">
      <w:pPr>
        <w:rPr>
          <w:sz w:val="20"/>
          <w:szCs w:val="20"/>
        </w:rPr>
      </w:pPr>
      <w:r w:rsidRPr="00366EEE">
        <w:rPr>
          <w:sz w:val="20"/>
          <w:szCs w:val="20"/>
        </w:rPr>
        <w:lastRenderedPageBreak/>
        <w:t>4. Klompas M, Branson R, Eichenwald EC, et al. Strategies to prevent ventilator-associated pneumonia in acute care hospitals: 2014 update. Infect Control Hosp Epidemiol. 2014</w:t>
      </w:r>
      <w:r w:rsidR="00016129">
        <w:rPr>
          <w:sz w:val="20"/>
          <w:szCs w:val="20"/>
        </w:rPr>
        <w:t xml:space="preserve"> Aug</w:t>
      </w:r>
      <w:r w:rsidRPr="00366EEE">
        <w:rPr>
          <w:sz w:val="20"/>
          <w:szCs w:val="20"/>
        </w:rPr>
        <w:t>;35(8):915-36.</w:t>
      </w:r>
      <w:r w:rsidR="00016129">
        <w:rPr>
          <w:sz w:val="20"/>
          <w:szCs w:val="20"/>
        </w:rPr>
        <w:t xml:space="preserve"> PMID: 25026607.</w:t>
      </w:r>
    </w:p>
    <w:p w:rsidR="0055402B" w:rsidRPr="00366EEE" w:rsidRDefault="0055402B" w:rsidP="0055402B">
      <w:pPr>
        <w:rPr>
          <w:sz w:val="20"/>
          <w:szCs w:val="20"/>
        </w:rPr>
      </w:pPr>
      <w:r w:rsidRPr="00366EEE">
        <w:rPr>
          <w:sz w:val="20"/>
          <w:szCs w:val="20"/>
        </w:rPr>
        <w:t>5. American Thoracic Society, Infectious Diseases Society of America. Guidelines for the management of adults with hospital-acquired, ventilator-associated, and healthcare-associated pneumonia. Am J Respir Crit Care Med. 2005</w:t>
      </w:r>
      <w:r w:rsidR="00DE3980">
        <w:rPr>
          <w:sz w:val="20"/>
          <w:szCs w:val="20"/>
        </w:rPr>
        <w:t>Feb</w:t>
      </w:r>
      <w:r w:rsidRPr="00366EEE">
        <w:rPr>
          <w:sz w:val="20"/>
          <w:szCs w:val="20"/>
        </w:rPr>
        <w:t>;171(4):388-416.</w:t>
      </w:r>
      <w:r w:rsidR="00016129">
        <w:rPr>
          <w:sz w:val="20"/>
          <w:szCs w:val="20"/>
        </w:rPr>
        <w:t xml:space="preserve"> PMID: 21481251.</w:t>
      </w:r>
    </w:p>
    <w:p w:rsidR="00C7054E" w:rsidRDefault="0055402B" w:rsidP="0055402B">
      <w:pPr>
        <w:rPr>
          <w:sz w:val="20"/>
          <w:szCs w:val="20"/>
        </w:rPr>
      </w:pPr>
      <w:r w:rsidRPr="00366EEE">
        <w:rPr>
          <w:sz w:val="20"/>
          <w:szCs w:val="20"/>
        </w:rPr>
        <w:t xml:space="preserve">6. Tablan OC, Anderson LJ, Besser R, </w:t>
      </w:r>
      <w:r w:rsidR="00016129">
        <w:rPr>
          <w:sz w:val="20"/>
          <w:szCs w:val="20"/>
        </w:rPr>
        <w:t>et al</w:t>
      </w:r>
      <w:r w:rsidRPr="00366EEE">
        <w:rPr>
          <w:sz w:val="20"/>
          <w:szCs w:val="20"/>
        </w:rPr>
        <w:t xml:space="preserve">. Guidelines for preventing healthcare-associated pneumonia, 2003: Recommendations of CDC and the </w:t>
      </w:r>
      <w:r w:rsidR="00521E7E">
        <w:rPr>
          <w:sz w:val="20"/>
          <w:szCs w:val="20"/>
        </w:rPr>
        <w:t>H</w:t>
      </w:r>
      <w:r w:rsidRPr="00366EEE">
        <w:rPr>
          <w:sz w:val="20"/>
          <w:szCs w:val="20"/>
        </w:rPr>
        <w:t xml:space="preserve">ealthcare </w:t>
      </w:r>
      <w:r w:rsidR="00521E7E">
        <w:rPr>
          <w:sz w:val="20"/>
          <w:szCs w:val="20"/>
        </w:rPr>
        <w:t>I</w:t>
      </w:r>
      <w:r w:rsidRPr="00366EEE">
        <w:rPr>
          <w:sz w:val="20"/>
          <w:szCs w:val="20"/>
        </w:rPr>
        <w:t xml:space="preserve">nfection </w:t>
      </w:r>
      <w:r w:rsidR="00521E7E">
        <w:rPr>
          <w:sz w:val="20"/>
          <w:szCs w:val="20"/>
        </w:rPr>
        <w:t>C</w:t>
      </w:r>
      <w:r w:rsidRPr="00366EEE">
        <w:rPr>
          <w:sz w:val="20"/>
          <w:szCs w:val="20"/>
        </w:rPr>
        <w:t xml:space="preserve">ontrol </w:t>
      </w:r>
      <w:r w:rsidR="00521E7E">
        <w:rPr>
          <w:sz w:val="20"/>
          <w:szCs w:val="20"/>
        </w:rPr>
        <w:t>P</w:t>
      </w:r>
      <w:r w:rsidRPr="00366EEE">
        <w:rPr>
          <w:sz w:val="20"/>
          <w:szCs w:val="20"/>
        </w:rPr>
        <w:t xml:space="preserve">ractices </w:t>
      </w:r>
      <w:r w:rsidR="00521E7E">
        <w:rPr>
          <w:sz w:val="20"/>
          <w:szCs w:val="20"/>
        </w:rPr>
        <w:t>A</w:t>
      </w:r>
      <w:r w:rsidRPr="00366EEE">
        <w:rPr>
          <w:sz w:val="20"/>
          <w:szCs w:val="20"/>
        </w:rPr>
        <w:t xml:space="preserve">dvisory </w:t>
      </w:r>
      <w:r w:rsidR="00521E7E">
        <w:rPr>
          <w:sz w:val="20"/>
          <w:szCs w:val="20"/>
        </w:rPr>
        <w:t>C</w:t>
      </w:r>
      <w:r w:rsidRPr="00366EEE">
        <w:rPr>
          <w:sz w:val="20"/>
          <w:szCs w:val="20"/>
        </w:rPr>
        <w:t>ommittee. MMWR Recomm Rep. 2004</w:t>
      </w:r>
      <w:r w:rsidR="00016129">
        <w:rPr>
          <w:sz w:val="20"/>
          <w:szCs w:val="20"/>
        </w:rPr>
        <w:t xml:space="preserve"> Mar</w:t>
      </w:r>
      <w:r w:rsidRPr="00366EEE">
        <w:rPr>
          <w:sz w:val="20"/>
          <w:szCs w:val="20"/>
        </w:rPr>
        <w:t>;53:1-36.</w:t>
      </w:r>
      <w:r w:rsidR="00016129">
        <w:rPr>
          <w:sz w:val="20"/>
          <w:szCs w:val="20"/>
        </w:rPr>
        <w:t xml:space="preserve"> PMID: 15048056.</w:t>
      </w:r>
    </w:p>
    <w:p w:rsidR="0055402B" w:rsidRPr="00366EEE" w:rsidRDefault="0055402B" w:rsidP="0055402B">
      <w:pPr>
        <w:rPr>
          <w:sz w:val="20"/>
          <w:szCs w:val="20"/>
        </w:rPr>
      </w:pPr>
      <w:r w:rsidRPr="00366EEE">
        <w:rPr>
          <w:sz w:val="20"/>
          <w:szCs w:val="20"/>
        </w:rPr>
        <w:t>7. Fan L, Su Y, Elmadhoun OA, et al. Protocol-directed weaning from mechanical ventilation in neurological patients: A randomised controlled trial and subgroup analyses based on consciousness. Neurol Res. 2015</w:t>
      </w:r>
      <w:r w:rsidR="00016129">
        <w:rPr>
          <w:sz w:val="20"/>
          <w:szCs w:val="20"/>
        </w:rPr>
        <w:t xml:space="preserve"> Nov</w:t>
      </w:r>
      <w:r w:rsidR="00DE3980">
        <w:rPr>
          <w:sz w:val="20"/>
          <w:szCs w:val="20"/>
        </w:rPr>
        <w:t>;37(11):1006-</w:t>
      </w:r>
      <w:r w:rsidRPr="00366EEE">
        <w:rPr>
          <w:sz w:val="20"/>
          <w:szCs w:val="20"/>
        </w:rPr>
        <w:t>14.</w:t>
      </w:r>
      <w:r w:rsidR="00016129">
        <w:rPr>
          <w:sz w:val="20"/>
          <w:szCs w:val="20"/>
        </w:rPr>
        <w:t xml:space="preserve"> PMID: 26311500.</w:t>
      </w:r>
    </w:p>
    <w:p w:rsidR="0055402B" w:rsidRPr="00366EEE" w:rsidRDefault="0055402B" w:rsidP="0055402B">
      <w:pPr>
        <w:rPr>
          <w:sz w:val="20"/>
          <w:szCs w:val="20"/>
        </w:rPr>
      </w:pPr>
      <w:r w:rsidRPr="00995F5E">
        <w:rPr>
          <w:b/>
          <w:sz w:val="20"/>
          <w:szCs w:val="20"/>
        </w:rPr>
        <w:t>PRO:</w:t>
      </w:r>
      <w:r w:rsidRPr="00366EEE">
        <w:rPr>
          <w:sz w:val="20"/>
          <w:szCs w:val="20"/>
        </w:rPr>
        <w:t xml:space="preserve"> RCT conducted in a neurological intensive care unit </w:t>
      </w:r>
      <w:r w:rsidR="007F6F80">
        <w:rPr>
          <w:sz w:val="20"/>
          <w:szCs w:val="20"/>
        </w:rPr>
        <w:t xml:space="preserve">(NCU) </w:t>
      </w:r>
      <w:r w:rsidRPr="00366EEE">
        <w:rPr>
          <w:sz w:val="20"/>
          <w:szCs w:val="20"/>
        </w:rPr>
        <w:t xml:space="preserve">in a tertiary care hospital. 144 patients requiring mechanical ventilation for </w:t>
      </w:r>
      <w:r w:rsidR="00521E7E">
        <w:rPr>
          <w:sz w:val="20"/>
          <w:szCs w:val="20"/>
        </w:rPr>
        <w:t xml:space="preserve">more than </w:t>
      </w:r>
      <w:r w:rsidRPr="00366EEE">
        <w:rPr>
          <w:sz w:val="20"/>
          <w:szCs w:val="20"/>
        </w:rPr>
        <w:t>24 hours were randomized to protocol-directed (intervention</w:t>
      </w:r>
      <w:r w:rsidR="00C7054E">
        <w:rPr>
          <w:sz w:val="20"/>
          <w:szCs w:val="20"/>
        </w:rPr>
        <w:t>, n=71</w:t>
      </w:r>
      <w:r w:rsidRPr="00366EEE">
        <w:rPr>
          <w:sz w:val="20"/>
          <w:szCs w:val="20"/>
        </w:rPr>
        <w:t>) or physician-directed (control</w:t>
      </w:r>
      <w:r w:rsidR="00C7054E">
        <w:rPr>
          <w:sz w:val="20"/>
          <w:szCs w:val="20"/>
        </w:rPr>
        <w:t>, n=73</w:t>
      </w:r>
      <w:r w:rsidRPr="00366EEE">
        <w:rPr>
          <w:sz w:val="20"/>
          <w:szCs w:val="20"/>
        </w:rPr>
        <w:t xml:space="preserve">) group. </w:t>
      </w:r>
      <w:r w:rsidRPr="00E67F00">
        <w:rPr>
          <w:b/>
          <w:sz w:val="20"/>
          <w:szCs w:val="20"/>
        </w:rPr>
        <w:t xml:space="preserve">The intervention group </w:t>
      </w:r>
      <w:r w:rsidR="00C7054E" w:rsidRPr="00E67F00">
        <w:rPr>
          <w:b/>
          <w:sz w:val="20"/>
          <w:szCs w:val="20"/>
        </w:rPr>
        <w:t>displayed a significantly shorter median weaning time than the control group (2.00 vs 5.07 days, p&lt;0.05). The median duration of mechanical ventilation tended to be shorter in the intervention group (10.8 vs 14.2 days, p=0.106). The median length of NCU stay was 19.0 and 26</w:t>
      </w:r>
      <w:r w:rsidR="00103FFA" w:rsidRPr="00E67F00">
        <w:rPr>
          <w:b/>
          <w:sz w:val="20"/>
          <w:szCs w:val="20"/>
        </w:rPr>
        <w:t xml:space="preserve">.1 days in the intervention and control groups, respectively (p=0.063). The median NCU cost was 9.26 X 10(4) and 12.24 </w:t>
      </w:r>
      <w:r w:rsidR="000D6883" w:rsidRPr="00E67F00">
        <w:rPr>
          <w:b/>
          <w:sz w:val="20"/>
          <w:szCs w:val="20"/>
        </w:rPr>
        <w:t>X</w:t>
      </w:r>
      <w:r w:rsidR="00103FFA" w:rsidRPr="00E67F00">
        <w:rPr>
          <w:b/>
          <w:sz w:val="20"/>
          <w:szCs w:val="20"/>
        </w:rPr>
        <w:t xml:space="preserve"> 10(4) </w:t>
      </w:r>
      <w:r w:rsidR="00B71AC6" w:rsidRPr="00E67F00">
        <w:rPr>
          <w:b/>
          <w:sz w:val="20"/>
          <w:szCs w:val="20"/>
        </w:rPr>
        <w:t xml:space="preserve">Yen </w:t>
      </w:r>
      <w:r w:rsidR="00103FFA" w:rsidRPr="00E67F00">
        <w:rPr>
          <w:b/>
          <w:sz w:val="20"/>
          <w:szCs w:val="20"/>
        </w:rPr>
        <w:t>in the intervention and control groups, respectively (p=0.059). The unsuccessful weaning, ventilator-associated pneumonia (VAP) and mortality rates were similar between the groups. Among conscious patients, the median wea</w:t>
      </w:r>
      <w:r w:rsidR="007F6F80" w:rsidRPr="00E67F00">
        <w:rPr>
          <w:b/>
          <w:sz w:val="20"/>
          <w:szCs w:val="20"/>
        </w:rPr>
        <w:t>ning time (2.00 vs 7.00 days, p=</w:t>
      </w:r>
      <w:r w:rsidR="008E378B" w:rsidRPr="00E67F00">
        <w:rPr>
          <w:b/>
          <w:sz w:val="20"/>
          <w:szCs w:val="20"/>
        </w:rPr>
        <w:t>0.05) and the median</w:t>
      </w:r>
      <w:r w:rsidR="00103FFA" w:rsidRPr="00E67F00">
        <w:rPr>
          <w:b/>
          <w:sz w:val="20"/>
          <w:szCs w:val="20"/>
        </w:rPr>
        <w:t xml:space="preserve"> duration </w:t>
      </w:r>
      <w:r w:rsidR="008E378B" w:rsidRPr="00E67F00">
        <w:rPr>
          <w:b/>
          <w:sz w:val="20"/>
          <w:szCs w:val="20"/>
        </w:rPr>
        <w:t xml:space="preserve">of mechanical ventilation </w:t>
      </w:r>
      <w:r w:rsidR="00103FFA" w:rsidRPr="00E67F00">
        <w:rPr>
          <w:b/>
          <w:sz w:val="20"/>
          <w:szCs w:val="20"/>
        </w:rPr>
        <w:t>(8.8 vs 18.0 days, p=0.017) were significantly reduced in the intervention group. Among unconscious patients, the intervention group displayed a reduced median weaning time (1.00 vs 3.10 days, p=&lt;0.05), but not median duration of mechanical ventilation (11.6 vs 11.1 days, p=0.702) compared to the control group.</w:t>
      </w:r>
      <w:r w:rsidR="00103FFA">
        <w:rPr>
          <w:sz w:val="20"/>
          <w:szCs w:val="20"/>
        </w:rPr>
        <w:t xml:space="preserve"> </w:t>
      </w:r>
      <w:r w:rsidRPr="00366EEE">
        <w:rPr>
          <w:sz w:val="20"/>
          <w:szCs w:val="20"/>
        </w:rPr>
        <w:t>Protocol-directed weaning reduces weaning times</w:t>
      </w:r>
      <w:r w:rsidR="00103FFA">
        <w:rPr>
          <w:sz w:val="20"/>
          <w:szCs w:val="20"/>
        </w:rPr>
        <w:t>, duration of mechanical ventilation, length of NCU</w:t>
      </w:r>
      <w:r w:rsidR="000D6883">
        <w:rPr>
          <w:sz w:val="20"/>
          <w:szCs w:val="20"/>
        </w:rPr>
        <w:t xml:space="preserve"> stay and NCU cost in neurological patients, and effects are more significant in conscious patients than in unconscious patients</w:t>
      </w:r>
      <w:r w:rsidRPr="00366EEE">
        <w:rPr>
          <w:sz w:val="20"/>
          <w:szCs w:val="20"/>
        </w:rPr>
        <w:t>.</w:t>
      </w:r>
    </w:p>
    <w:p w:rsidR="0055402B" w:rsidRPr="00366EEE" w:rsidRDefault="0055402B" w:rsidP="0055402B">
      <w:pPr>
        <w:rPr>
          <w:sz w:val="20"/>
          <w:szCs w:val="20"/>
        </w:rPr>
      </w:pPr>
      <w:r w:rsidRPr="00366EEE">
        <w:rPr>
          <w:sz w:val="20"/>
          <w:szCs w:val="20"/>
        </w:rPr>
        <w:t>8. Stollings JL, Foss JJ, Ely EW, et al. Pharmacist leadership in ICU quality improvement: Coordinating spontaneous awakening and breathing trials. Ann Pharmacother. 2015</w:t>
      </w:r>
      <w:r w:rsidR="00B1080D">
        <w:rPr>
          <w:sz w:val="20"/>
          <w:szCs w:val="20"/>
        </w:rPr>
        <w:t xml:space="preserve"> Aug</w:t>
      </w:r>
      <w:r w:rsidR="00DE3980">
        <w:rPr>
          <w:sz w:val="20"/>
          <w:szCs w:val="20"/>
        </w:rPr>
        <w:t>;49(8):883-</w:t>
      </w:r>
      <w:r w:rsidRPr="00366EEE">
        <w:rPr>
          <w:sz w:val="20"/>
          <w:szCs w:val="20"/>
        </w:rPr>
        <w:t>91.</w:t>
      </w:r>
      <w:r w:rsidR="00B1080D">
        <w:rPr>
          <w:sz w:val="20"/>
          <w:szCs w:val="20"/>
        </w:rPr>
        <w:t xml:space="preserve"> PMID: 25907528.</w:t>
      </w:r>
    </w:p>
    <w:p w:rsidR="0055402B" w:rsidRPr="00366EEE" w:rsidRDefault="0055402B" w:rsidP="0055402B">
      <w:pPr>
        <w:rPr>
          <w:sz w:val="20"/>
          <w:szCs w:val="20"/>
        </w:rPr>
      </w:pPr>
      <w:r w:rsidRPr="00995F5E">
        <w:rPr>
          <w:b/>
          <w:sz w:val="20"/>
          <w:szCs w:val="20"/>
        </w:rPr>
        <w:t>PRO:</w:t>
      </w:r>
      <w:r w:rsidRPr="00366EEE">
        <w:rPr>
          <w:sz w:val="20"/>
          <w:szCs w:val="20"/>
        </w:rPr>
        <w:t xml:space="preserve"> Quasi-exp</w:t>
      </w:r>
      <w:r w:rsidR="000D6883">
        <w:rPr>
          <w:sz w:val="20"/>
          <w:szCs w:val="20"/>
        </w:rPr>
        <w:t xml:space="preserve">erimental, quality improvement study – implemented a </w:t>
      </w:r>
      <w:r w:rsidRPr="00366EEE">
        <w:rPr>
          <w:sz w:val="20"/>
          <w:szCs w:val="20"/>
        </w:rPr>
        <w:t xml:space="preserve">pharmacist-driven SAT protocol that included process measures. Compared this to a protocol where pharmacists were not included. </w:t>
      </w:r>
      <w:r w:rsidR="000D6883" w:rsidRPr="00E67F00">
        <w:rPr>
          <w:b/>
          <w:sz w:val="20"/>
          <w:szCs w:val="20"/>
        </w:rPr>
        <w:t>SAT safety screens were</w:t>
      </w:r>
      <w:r w:rsidR="007F6F80" w:rsidRPr="00E67F00">
        <w:rPr>
          <w:b/>
          <w:sz w:val="20"/>
          <w:szCs w:val="20"/>
        </w:rPr>
        <w:t xml:space="preserve"> performed on only 20 percent of pre-quality improvement (QI) patient-days versus 97 percent</w:t>
      </w:r>
      <w:r w:rsidR="000D6883" w:rsidRPr="00E67F00">
        <w:rPr>
          <w:b/>
          <w:sz w:val="20"/>
          <w:szCs w:val="20"/>
        </w:rPr>
        <w:t xml:space="preserve"> of during-QI patient-days (p&lt;0.001) and 100% of post-QI patient-days (p=</w:t>
      </w:r>
      <w:r w:rsidR="00CA76F8" w:rsidRPr="00E67F00">
        <w:rPr>
          <w:b/>
          <w:sz w:val="20"/>
          <w:szCs w:val="20"/>
        </w:rPr>
        <w:t>0.25). The rates of passing the SAT safety screen in pre-Q</w:t>
      </w:r>
      <w:r w:rsidR="007F6F80" w:rsidRPr="00E67F00">
        <w:rPr>
          <w:b/>
          <w:sz w:val="20"/>
          <w:szCs w:val="20"/>
        </w:rPr>
        <w:t>I and during-QI periods were 63 percent versus 78 percent (p=0.03) and 81 percent</w:t>
      </w:r>
      <w:r w:rsidR="00CA76F8" w:rsidRPr="00E67F00">
        <w:rPr>
          <w:b/>
          <w:sz w:val="20"/>
          <w:szCs w:val="20"/>
        </w:rPr>
        <w:t xml:space="preserve"> in the post-QI period (p=0.86). The rates of SATs among eligible patients on co</w:t>
      </w:r>
      <w:r w:rsidR="007F6F80" w:rsidRPr="00E67F00">
        <w:rPr>
          <w:b/>
          <w:sz w:val="20"/>
          <w:szCs w:val="20"/>
        </w:rPr>
        <w:t>ntinuous infusions were only 53 percent in the pre-QI versus 85 percent</w:t>
      </w:r>
      <w:r w:rsidR="00CA76F8" w:rsidRPr="00E67F00">
        <w:rPr>
          <w:b/>
          <w:sz w:val="20"/>
          <w:szCs w:val="20"/>
        </w:rPr>
        <w:t xml:space="preserve"> in the during-QI (p=0.0001</w:t>
      </w:r>
      <w:r w:rsidR="00CB6BB4" w:rsidRPr="00E67F00">
        <w:rPr>
          <w:b/>
          <w:sz w:val="20"/>
          <w:szCs w:val="20"/>
        </w:rPr>
        <w:t>)</w:t>
      </w:r>
      <w:r w:rsidR="008E378B" w:rsidRPr="00E67F00">
        <w:rPr>
          <w:b/>
          <w:sz w:val="20"/>
          <w:szCs w:val="20"/>
        </w:rPr>
        <w:t xml:space="preserve"> and 87percent</w:t>
      </w:r>
      <w:r w:rsidR="00CA76F8" w:rsidRPr="00E67F00">
        <w:rPr>
          <w:b/>
          <w:sz w:val="20"/>
          <w:szCs w:val="20"/>
        </w:rPr>
        <w:t xml:space="preserve"> in the post-QI (p=1</w:t>
      </w:r>
      <w:r w:rsidR="00CB6BB4" w:rsidRPr="00E67F00">
        <w:rPr>
          <w:b/>
          <w:sz w:val="20"/>
          <w:szCs w:val="20"/>
        </w:rPr>
        <w:t>.0</w:t>
      </w:r>
      <w:r w:rsidR="00CA76F8" w:rsidRPr="00E67F00">
        <w:rPr>
          <w:b/>
          <w:sz w:val="20"/>
          <w:szCs w:val="20"/>
        </w:rPr>
        <w:t>) periods.</w:t>
      </w:r>
      <w:r w:rsidR="00CA76F8">
        <w:rPr>
          <w:sz w:val="20"/>
          <w:szCs w:val="20"/>
        </w:rPr>
        <w:t xml:space="preserve"> </w:t>
      </w:r>
      <w:r w:rsidRPr="00366EEE">
        <w:rPr>
          <w:sz w:val="20"/>
          <w:szCs w:val="20"/>
        </w:rPr>
        <w:t xml:space="preserve">A pharmacist-driven </w:t>
      </w:r>
      <w:r w:rsidR="00CB6BB4">
        <w:rPr>
          <w:sz w:val="20"/>
          <w:szCs w:val="20"/>
        </w:rPr>
        <w:t>awakening and breathing coordination</w:t>
      </w:r>
      <w:r w:rsidR="00CA76F8">
        <w:rPr>
          <w:sz w:val="20"/>
          <w:szCs w:val="20"/>
        </w:rPr>
        <w:t xml:space="preserve"> </w:t>
      </w:r>
      <w:r w:rsidRPr="00366EEE">
        <w:rPr>
          <w:sz w:val="20"/>
          <w:szCs w:val="20"/>
        </w:rPr>
        <w:t xml:space="preserve">protocol significantly improved process measure compliance, comparing the pre-intervention </w:t>
      </w:r>
      <w:r w:rsidR="00CA76F8">
        <w:rPr>
          <w:sz w:val="20"/>
          <w:szCs w:val="20"/>
        </w:rPr>
        <w:t>rates of screening, performing and coordinating SAT and SBTs.</w:t>
      </w:r>
      <w:r w:rsidRPr="00366EEE">
        <w:rPr>
          <w:sz w:val="20"/>
          <w:szCs w:val="20"/>
        </w:rPr>
        <w:t xml:space="preserve"> Results were </w:t>
      </w:r>
      <w:r w:rsidR="00CB6BB4">
        <w:rPr>
          <w:sz w:val="20"/>
          <w:szCs w:val="20"/>
        </w:rPr>
        <w:t>sustained in the 8-month follow</w:t>
      </w:r>
      <w:r w:rsidRPr="00366EEE">
        <w:rPr>
          <w:sz w:val="20"/>
          <w:szCs w:val="20"/>
        </w:rPr>
        <w:t>up period.</w:t>
      </w:r>
    </w:p>
    <w:p w:rsidR="0055402B" w:rsidRPr="00366EEE" w:rsidRDefault="0055402B" w:rsidP="0055402B">
      <w:pPr>
        <w:rPr>
          <w:sz w:val="20"/>
          <w:szCs w:val="20"/>
        </w:rPr>
      </w:pPr>
      <w:r w:rsidRPr="00366EEE">
        <w:rPr>
          <w:sz w:val="20"/>
          <w:szCs w:val="20"/>
        </w:rPr>
        <w:t>9. Klompas M, Anderson D, Trick W, et al. The preventability of ventilator-associated events. The CDC prevention epicenters wake up and breathe collaborative. Am J Respir Crit Care Med. 2015</w:t>
      </w:r>
      <w:r w:rsidR="00B1080D">
        <w:rPr>
          <w:sz w:val="20"/>
          <w:szCs w:val="20"/>
        </w:rPr>
        <w:t xml:space="preserve"> Feb</w:t>
      </w:r>
      <w:r w:rsidRPr="00366EEE">
        <w:rPr>
          <w:sz w:val="20"/>
          <w:szCs w:val="20"/>
        </w:rPr>
        <w:t>;191(3):292-301.</w:t>
      </w:r>
      <w:r w:rsidR="00B1080D">
        <w:rPr>
          <w:sz w:val="20"/>
          <w:szCs w:val="20"/>
        </w:rPr>
        <w:t xml:space="preserve"> PMID: 25369558.</w:t>
      </w:r>
    </w:p>
    <w:p w:rsidR="0055402B" w:rsidRPr="00366EEE" w:rsidRDefault="0055402B" w:rsidP="0055402B">
      <w:pPr>
        <w:rPr>
          <w:sz w:val="20"/>
          <w:szCs w:val="20"/>
        </w:rPr>
      </w:pPr>
      <w:r w:rsidRPr="00995F5E">
        <w:rPr>
          <w:b/>
          <w:sz w:val="20"/>
          <w:szCs w:val="20"/>
        </w:rPr>
        <w:lastRenderedPageBreak/>
        <w:t>PRO:</w:t>
      </w:r>
      <w:r w:rsidRPr="00366EEE">
        <w:rPr>
          <w:sz w:val="20"/>
          <w:szCs w:val="20"/>
        </w:rPr>
        <w:t xml:space="preserve"> Controlled trial to assess whether daily coordinated SATs and SBTs might prevent ventilator-associated events (VAEs). 20 units in the Centers for Disease Control and Prevention Epicenters Program participated in the trial. 12 units implemented an opt-out protocol for nurses and respiratory therapists to perform paired daily SATs and SBTs. </w:t>
      </w:r>
      <w:r w:rsidRPr="00E67F00">
        <w:rPr>
          <w:b/>
          <w:sz w:val="20"/>
          <w:szCs w:val="20"/>
        </w:rPr>
        <w:t xml:space="preserve">8 units only conducted surveillance for VAEs. </w:t>
      </w:r>
      <w:r w:rsidR="002E569C" w:rsidRPr="00E67F00">
        <w:rPr>
          <w:b/>
          <w:sz w:val="20"/>
          <w:szCs w:val="20"/>
        </w:rPr>
        <w:t>5,164 consecutive episodes of mechanical ventilation were tracked; 3,425 in intervention units and 1,739 in control units. Within collaborative units, significant increases in SATs, SBTs, and percentage of SBTs performed without sedation were mirrored by significant decreases in duration of mechanical ventilation and hospital length-of-stay. There was no change in VAE risk per ventilator day but significant decreases in VAE per episode of mechanical ventilation (</w:t>
      </w:r>
      <w:r w:rsidR="00CB6BB4" w:rsidRPr="00E67F00">
        <w:rPr>
          <w:b/>
          <w:sz w:val="20"/>
          <w:szCs w:val="20"/>
        </w:rPr>
        <w:t>odds ratio [</w:t>
      </w:r>
      <w:r w:rsidR="002E569C" w:rsidRPr="00E67F00">
        <w:rPr>
          <w:b/>
          <w:sz w:val="20"/>
          <w:szCs w:val="20"/>
        </w:rPr>
        <w:t>OR</w:t>
      </w:r>
      <w:r w:rsidR="008E378B" w:rsidRPr="00E67F00">
        <w:rPr>
          <w:b/>
          <w:sz w:val="20"/>
          <w:szCs w:val="20"/>
        </w:rPr>
        <w:t xml:space="preserve">], 0.63; 95% CI 0.42 to </w:t>
      </w:r>
      <w:r w:rsidR="002E569C" w:rsidRPr="00E67F00">
        <w:rPr>
          <w:b/>
          <w:sz w:val="20"/>
          <w:szCs w:val="20"/>
        </w:rPr>
        <w:t>0.97) and infection-related ventilator-associated compl</w:t>
      </w:r>
      <w:r w:rsidR="008E378B" w:rsidRPr="00E67F00">
        <w:rPr>
          <w:b/>
          <w:sz w:val="20"/>
          <w:szCs w:val="20"/>
        </w:rPr>
        <w:t xml:space="preserve">ications (OR, 0.35; 95% CI 0.17 to </w:t>
      </w:r>
      <w:r w:rsidR="002E569C" w:rsidRPr="00E67F00">
        <w:rPr>
          <w:b/>
          <w:sz w:val="20"/>
          <w:szCs w:val="20"/>
        </w:rPr>
        <w:t xml:space="preserve">0.71) but not pneumonias (OR, 0.51; 95% CI </w:t>
      </w:r>
      <w:r w:rsidR="00CB6BB4" w:rsidRPr="00E67F00">
        <w:rPr>
          <w:b/>
          <w:sz w:val="20"/>
          <w:szCs w:val="20"/>
        </w:rPr>
        <w:t>0.19</w:t>
      </w:r>
      <w:r w:rsidR="008E378B" w:rsidRPr="00E67F00">
        <w:rPr>
          <w:b/>
          <w:sz w:val="20"/>
          <w:szCs w:val="20"/>
        </w:rPr>
        <w:t xml:space="preserve"> to </w:t>
      </w:r>
      <w:r w:rsidR="00054B58" w:rsidRPr="00E67F00">
        <w:rPr>
          <w:b/>
          <w:sz w:val="20"/>
          <w:szCs w:val="20"/>
        </w:rPr>
        <w:t>1.3).</w:t>
      </w:r>
      <w:r w:rsidR="00054B58">
        <w:rPr>
          <w:sz w:val="20"/>
          <w:szCs w:val="20"/>
        </w:rPr>
        <w:t xml:space="preserve"> Within control units, there were no significant changes in SAT, SBT, or VAE rates. </w:t>
      </w:r>
      <w:r w:rsidRPr="00366EEE">
        <w:rPr>
          <w:sz w:val="20"/>
          <w:szCs w:val="20"/>
        </w:rPr>
        <w:t>With significant increases in the performance of SATs and SBTs, there were significant decreases in duration of mechanical ventilation and hospital length of stay.</w:t>
      </w:r>
    </w:p>
    <w:p w:rsidR="0055402B" w:rsidRPr="00366EEE" w:rsidRDefault="0055402B" w:rsidP="0055402B">
      <w:pPr>
        <w:rPr>
          <w:sz w:val="20"/>
          <w:szCs w:val="20"/>
        </w:rPr>
      </w:pPr>
      <w:r w:rsidRPr="00366EEE">
        <w:rPr>
          <w:sz w:val="20"/>
          <w:szCs w:val="20"/>
        </w:rPr>
        <w:t>10. Balas MC, Vasilevskis EE, Olsen KM, et al. Effectiveness and safety of the awakening and breathing coordination, delirium monitoring/management, and early exercise/mobility bundle. Crit Care Med. 2014</w:t>
      </w:r>
      <w:r w:rsidR="00B1080D">
        <w:rPr>
          <w:sz w:val="20"/>
          <w:szCs w:val="20"/>
        </w:rPr>
        <w:t xml:space="preserve"> May;42(5):1024-36. PMID: 24394627</w:t>
      </w:r>
      <w:r w:rsidRPr="00366EEE">
        <w:rPr>
          <w:sz w:val="20"/>
          <w:szCs w:val="20"/>
        </w:rPr>
        <w:t>.</w:t>
      </w:r>
    </w:p>
    <w:p w:rsidR="0055402B" w:rsidRPr="00366EEE" w:rsidRDefault="0055402B" w:rsidP="0055402B">
      <w:pPr>
        <w:rPr>
          <w:sz w:val="20"/>
          <w:szCs w:val="20"/>
        </w:rPr>
      </w:pPr>
      <w:r w:rsidRPr="00995F5E">
        <w:rPr>
          <w:b/>
          <w:sz w:val="20"/>
          <w:szCs w:val="20"/>
        </w:rPr>
        <w:t>PRO:</w:t>
      </w:r>
      <w:r w:rsidRPr="00366EEE">
        <w:rPr>
          <w:sz w:val="20"/>
          <w:szCs w:val="20"/>
        </w:rPr>
        <w:t xml:space="preserve"> This was an 18-month, prospective cohort, before and after study in five adult intensive care units, one step-down unit and one oncology/hematology/special care unit. A total of 296 patients (146 pre-bundle and 150 post-bundle) were enrolled, and 187 of these were mechanically ventilated. For the mechanically ventilated patients, outcomes included the association of bundle implementation and ventilator-free days. </w:t>
      </w:r>
      <w:r w:rsidRPr="00366EEE">
        <w:rPr>
          <w:b/>
          <w:sz w:val="20"/>
          <w:szCs w:val="20"/>
        </w:rPr>
        <w:t xml:space="preserve">Patients in the post-implementation period spent 3 more days breathing without mechanical assistance than did those in the pre-implementation period (median [IQR], 24 [7–26] vs 21 [0–25]; p=0.04). After adjusting for age, sex, severity of illness, comorbidity, and mechanical ventilation status, patients managed with the Awakening and Breathing Coordination, Delirium Monitoring/Management, and Early Exercise/Mobility bundle experienced a near halving of </w:t>
      </w:r>
      <w:r w:rsidR="00CB6BB4">
        <w:rPr>
          <w:b/>
          <w:sz w:val="20"/>
          <w:szCs w:val="20"/>
        </w:rPr>
        <w:t>the odds of delirium (OR</w:t>
      </w:r>
      <w:r w:rsidRPr="00366EEE">
        <w:rPr>
          <w:b/>
          <w:sz w:val="20"/>
          <w:szCs w:val="20"/>
        </w:rPr>
        <w:t>, 0.55; 95% CI, 0.33 to 0.93; p=0.03) and increased odds of mobilizing out of bed at least once during an intensive care unit stay (odds ratio, 2.11; 95% C</w:t>
      </w:r>
      <w:r w:rsidR="00CB6BB4">
        <w:rPr>
          <w:b/>
          <w:sz w:val="20"/>
          <w:szCs w:val="20"/>
        </w:rPr>
        <w:t xml:space="preserve">I, 1.29 to </w:t>
      </w:r>
      <w:r w:rsidRPr="00366EEE">
        <w:rPr>
          <w:b/>
          <w:sz w:val="20"/>
          <w:szCs w:val="20"/>
        </w:rPr>
        <w:t>3.45; p=0.003).</w:t>
      </w:r>
      <w:r w:rsidRPr="00366EEE">
        <w:rPr>
          <w:sz w:val="20"/>
          <w:szCs w:val="20"/>
        </w:rPr>
        <w:t xml:space="preserve"> Critically ill patients managed with the Awakening and Breathing Coordination, Delirium Monitoring/Management, and Early Exercise/Mobility bundle spent 3 more days breathing without assistance, experienced less delirium, and were more likely to be mobilized during their intensive care unit stay than patients treated with usual care.</w:t>
      </w:r>
    </w:p>
    <w:p w:rsidR="0055402B" w:rsidRPr="00366EEE" w:rsidRDefault="0055402B" w:rsidP="0055402B">
      <w:pPr>
        <w:rPr>
          <w:sz w:val="20"/>
          <w:szCs w:val="20"/>
        </w:rPr>
      </w:pPr>
      <w:r w:rsidRPr="00366EEE">
        <w:rPr>
          <w:sz w:val="20"/>
          <w:szCs w:val="20"/>
        </w:rPr>
        <w:t xml:space="preserve">11. Gnanapandithan K, Agarwal RA, </w:t>
      </w:r>
      <w:r w:rsidR="00B1080D">
        <w:rPr>
          <w:sz w:val="20"/>
          <w:szCs w:val="20"/>
        </w:rPr>
        <w:t>Aggarwal AN</w:t>
      </w:r>
      <w:r w:rsidRPr="00366EEE">
        <w:rPr>
          <w:sz w:val="20"/>
          <w:szCs w:val="20"/>
        </w:rPr>
        <w:t xml:space="preserve">, </w:t>
      </w:r>
      <w:r w:rsidR="00B1080D">
        <w:rPr>
          <w:sz w:val="20"/>
          <w:szCs w:val="20"/>
        </w:rPr>
        <w:t>et al</w:t>
      </w:r>
      <w:r w:rsidRPr="00366EEE">
        <w:rPr>
          <w:sz w:val="20"/>
          <w:szCs w:val="20"/>
        </w:rPr>
        <w:t>. Weaning by gradual pressure support (PS) reduction without an initial spontaneous breathing trial (SBT) versus PS-supported SBT; a pilot study. Rev. Port Penumol. 2011</w:t>
      </w:r>
      <w:r w:rsidR="00B1080D">
        <w:rPr>
          <w:sz w:val="20"/>
          <w:szCs w:val="20"/>
        </w:rPr>
        <w:t>Nov-Dec;17(6):244-52. PMID: 21908162.</w:t>
      </w:r>
    </w:p>
    <w:p w:rsidR="0055402B" w:rsidRPr="00366EEE" w:rsidRDefault="0055402B" w:rsidP="0055402B">
      <w:pPr>
        <w:rPr>
          <w:sz w:val="20"/>
          <w:szCs w:val="20"/>
        </w:rPr>
      </w:pPr>
      <w:r w:rsidRPr="00995F5E">
        <w:rPr>
          <w:b/>
          <w:sz w:val="20"/>
          <w:szCs w:val="20"/>
        </w:rPr>
        <w:t>CON:</w:t>
      </w:r>
      <w:r w:rsidRPr="00366EEE">
        <w:rPr>
          <w:sz w:val="20"/>
          <w:szCs w:val="20"/>
        </w:rPr>
        <w:t xml:space="preserve"> RCT. Study focused on 120 adult patients requiring mechanically ventilation for more than 24 hours to evaluate the effectiveness of weaning by gr</w:t>
      </w:r>
      <w:r w:rsidR="00CB6BB4">
        <w:rPr>
          <w:sz w:val="20"/>
          <w:szCs w:val="20"/>
        </w:rPr>
        <w:t xml:space="preserve">adual </w:t>
      </w:r>
      <w:r w:rsidR="008E378B">
        <w:rPr>
          <w:sz w:val="20"/>
          <w:szCs w:val="20"/>
        </w:rPr>
        <w:t>pressure support (</w:t>
      </w:r>
      <w:r w:rsidR="00CB6BB4">
        <w:rPr>
          <w:sz w:val="20"/>
          <w:szCs w:val="20"/>
        </w:rPr>
        <w:t>PS</w:t>
      </w:r>
      <w:r w:rsidR="008E378B">
        <w:rPr>
          <w:sz w:val="20"/>
          <w:szCs w:val="20"/>
        </w:rPr>
        <w:t>)</w:t>
      </w:r>
      <w:r w:rsidRPr="00366EEE">
        <w:rPr>
          <w:sz w:val="20"/>
          <w:szCs w:val="20"/>
        </w:rPr>
        <w:t xml:space="preserve"> with</w:t>
      </w:r>
      <w:r w:rsidR="00B71AC6">
        <w:rPr>
          <w:sz w:val="20"/>
          <w:szCs w:val="20"/>
        </w:rPr>
        <w:t>out</w:t>
      </w:r>
      <w:r w:rsidRPr="00366EEE">
        <w:rPr>
          <w:sz w:val="20"/>
          <w:szCs w:val="20"/>
        </w:rPr>
        <w:t xml:space="preserve"> initial SBT versus PS-supported SBT. Findings showed that weaning by gradual reduction of PS without an SBT was associated with better outcomes in terms of higher weaning trial successes, shorter ICU stay and trend toward quicker time to extubation than weaning by PS supported with SBTs. The median duration of ventilation prior to weaning was 80.2 (50.5–175.6) hours. </w:t>
      </w:r>
      <w:r w:rsidRPr="00B9233E">
        <w:rPr>
          <w:b/>
          <w:sz w:val="20"/>
          <w:szCs w:val="20"/>
        </w:rPr>
        <w:t>The baseline characteristics were similar in the two groups except the PaO(2)/FiO(2) ratio, which was significantly higher in the SBT group. The rates of succes</w:t>
      </w:r>
      <w:r w:rsidR="00CB6BB4">
        <w:rPr>
          <w:b/>
          <w:sz w:val="20"/>
          <w:szCs w:val="20"/>
        </w:rPr>
        <w:t>sful weaning trial (89.7% vs.</w:t>
      </w:r>
      <w:r w:rsidRPr="00B9233E">
        <w:rPr>
          <w:b/>
          <w:sz w:val="20"/>
          <w:szCs w:val="20"/>
        </w:rPr>
        <w:t xml:space="preserve"> 69.4%) were significantly higher in the PS group. The median dur</w:t>
      </w:r>
      <w:r w:rsidR="00CB6BB4">
        <w:rPr>
          <w:b/>
          <w:sz w:val="20"/>
          <w:szCs w:val="20"/>
        </w:rPr>
        <w:t>ation of weaning (66 hours v</w:t>
      </w:r>
      <w:r w:rsidRPr="00B9233E">
        <w:rPr>
          <w:b/>
          <w:sz w:val="20"/>
          <w:szCs w:val="20"/>
        </w:rPr>
        <w:t>s 81.5 hours, p=0.05) and the median du</w:t>
      </w:r>
      <w:r w:rsidR="00CB6BB4">
        <w:rPr>
          <w:b/>
          <w:sz w:val="20"/>
          <w:szCs w:val="20"/>
        </w:rPr>
        <w:t>ration of ICU stay (8 days v</w:t>
      </w:r>
      <w:r w:rsidRPr="00B9233E">
        <w:rPr>
          <w:b/>
          <w:sz w:val="20"/>
          <w:szCs w:val="20"/>
        </w:rPr>
        <w:t>s</w:t>
      </w:r>
      <w:r w:rsidR="00CB6BB4">
        <w:rPr>
          <w:b/>
          <w:sz w:val="20"/>
          <w:szCs w:val="20"/>
        </w:rPr>
        <w:t>.</w:t>
      </w:r>
      <w:r w:rsidRPr="00B9233E">
        <w:rPr>
          <w:b/>
          <w:sz w:val="20"/>
          <w:szCs w:val="20"/>
        </w:rPr>
        <w:t xml:space="preserve"> 9.4 days, p=0.027) was lower in the PS group.</w:t>
      </w:r>
    </w:p>
    <w:p w:rsidR="0055402B" w:rsidRPr="00366EEE" w:rsidRDefault="00B1080D" w:rsidP="0055402B">
      <w:pPr>
        <w:rPr>
          <w:sz w:val="20"/>
          <w:szCs w:val="20"/>
        </w:rPr>
      </w:pPr>
      <w:r>
        <w:rPr>
          <w:sz w:val="20"/>
          <w:szCs w:val="20"/>
        </w:rPr>
        <w:t>12. Guttormson J,</w:t>
      </w:r>
      <w:r w:rsidR="0055402B" w:rsidRPr="00366EEE">
        <w:rPr>
          <w:sz w:val="20"/>
          <w:szCs w:val="20"/>
        </w:rPr>
        <w:t>Chlan</w:t>
      </w:r>
      <w:r>
        <w:rPr>
          <w:sz w:val="20"/>
          <w:szCs w:val="20"/>
        </w:rPr>
        <w:t xml:space="preserve"> L, Weinert C</w:t>
      </w:r>
      <w:r w:rsidR="0055402B" w:rsidRPr="00366EEE">
        <w:rPr>
          <w:sz w:val="20"/>
          <w:szCs w:val="20"/>
        </w:rPr>
        <w:t xml:space="preserve">, </w:t>
      </w:r>
      <w:r>
        <w:rPr>
          <w:sz w:val="20"/>
          <w:szCs w:val="20"/>
        </w:rPr>
        <w:t>et al</w:t>
      </w:r>
      <w:r w:rsidR="0055402B" w:rsidRPr="00366EEE">
        <w:rPr>
          <w:sz w:val="20"/>
          <w:szCs w:val="20"/>
        </w:rPr>
        <w:t>. Factors influencing nurse sedation practices with mechanically ventilated patients: A U.S national su</w:t>
      </w:r>
      <w:r>
        <w:rPr>
          <w:sz w:val="20"/>
          <w:szCs w:val="20"/>
        </w:rPr>
        <w:t xml:space="preserve">rvey. Intensive Crit.Care Nurs. </w:t>
      </w:r>
      <w:r w:rsidR="0055402B" w:rsidRPr="00366EEE">
        <w:rPr>
          <w:sz w:val="20"/>
          <w:szCs w:val="20"/>
        </w:rPr>
        <w:t>2010</w:t>
      </w:r>
      <w:r>
        <w:rPr>
          <w:sz w:val="20"/>
          <w:szCs w:val="20"/>
        </w:rPr>
        <w:t xml:space="preserve"> Feb</w:t>
      </w:r>
      <w:r w:rsidR="0055402B" w:rsidRPr="00366EEE">
        <w:rPr>
          <w:sz w:val="20"/>
          <w:szCs w:val="20"/>
        </w:rPr>
        <w:t>;26</w:t>
      </w:r>
      <w:r>
        <w:rPr>
          <w:sz w:val="20"/>
          <w:szCs w:val="20"/>
        </w:rPr>
        <w:t>(1)</w:t>
      </w:r>
      <w:r w:rsidR="0055402B" w:rsidRPr="00366EEE">
        <w:rPr>
          <w:sz w:val="20"/>
          <w:szCs w:val="20"/>
        </w:rPr>
        <w:t>:44-50.</w:t>
      </w:r>
      <w:r>
        <w:rPr>
          <w:sz w:val="20"/>
          <w:szCs w:val="20"/>
        </w:rPr>
        <w:t xml:space="preserve"> PMID: 19945879.</w:t>
      </w:r>
    </w:p>
    <w:p w:rsidR="0055402B" w:rsidRPr="00366EEE" w:rsidRDefault="0055402B" w:rsidP="0055402B">
      <w:pPr>
        <w:rPr>
          <w:sz w:val="20"/>
          <w:szCs w:val="20"/>
        </w:rPr>
      </w:pPr>
      <w:r w:rsidRPr="00995F5E">
        <w:rPr>
          <w:b/>
          <w:sz w:val="20"/>
          <w:szCs w:val="20"/>
        </w:rPr>
        <w:lastRenderedPageBreak/>
        <w:t>PRO:</w:t>
      </w:r>
      <w:r w:rsidRPr="00366EEE">
        <w:rPr>
          <w:sz w:val="20"/>
          <w:szCs w:val="20"/>
        </w:rPr>
        <w:t xml:space="preserve"> Study surveyed 423 members of the American Association of Critical Care Nurses to describe factors that influence nurse sedation administration to mechanically ventilated patients and to identify individual or workplace characteristic that impact sedation practices. </w:t>
      </w:r>
      <w:r w:rsidRPr="00B9233E">
        <w:rPr>
          <w:b/>
          <w:sz w:val="20"/>
          <w:szCs w:val="20"/>
        </w:rPr>
        <w:t>Self-reported sedation administration subscale scores were higher (stronger agreement with positive statements and stronger disagreement with negative statements) for respondents using a sedation assessment scale (median: 3.67, IQR: 3.33–3.89) than those without (median: 3.56, IQR: 3.33–3.79); z(407)=-2.565, p=0.01). Respondents that utilized a sedation scale indicated stronger agreement that three items indicated under sedation: reaching for endotracheal tube or lines, tachypnea, and ventilator dysynchrony.  The majority of nurse respondents felt that sedation was necessary for patients’ comfort and characterized mechanical ventilation as uncomfortable and stressful. The attitudes influence nurses' self-reported sedation administration.</w:t>
      </w:r>
    </w:p>
    <w:p w:rsidR="0055402B" w:rsidRPr="00366EEE" w:rsidRDefault="0055402B" w:rsidP="0055402B">
      <w:pPr>
        <w:rPr>
          <w:sz w:val="20"/>
          <w:szCs w:val="20"/>
        </w:rPr>
      </w:pPr>
      <w:r w:rsidRPr="00366EEE">
        <w:rPr>
          <w:sz w:val="20"/>
          <w:szCs w:val="20"/>
        </w:rPr>
        <w:t xml:space="preserve">13. Tanios </w:t>
      </w:r>
      <w:r w:rsidR="00871BFC">
        <w:rPr>
          <w:sz w:val="20"/>
          <w:szCs w:val="20"/>
        </w:rPr>
        <w:t>M, de Wit M, Epstein S, et al</w:t>
      </w:r>
      <w:r w:rsidRPr="00366EEE">
        <w:rPr>
          <w:sz w:val="20"/>
          <w:szCs w:val="20"/>
        </w:rPr>
        <w:t>. Perceived barriers to the use of sedation protocols and daily sedation interruption: A multidisciplinary survey. Journal Critical Care. 2009</w:t>
      </w:r>
      <w:r w:rsidR="00871BFC">
        <w:rPr>
          <w:sz w:val="20"/>
          <w:szCs w:val="20"/>
        </w:rPr>
        <w:t xml:space="preserve"> Mar</w:t>
      </w:r>
      <w:r w:rsidRPr="00366EEE">
        <w:rPr>
          <w:sz w:val="20"/>
          <w:szCs w:val="20"/>
        </w:rPr>
        <w:t>;24</w:t>
      </w:r>
      <w:r w:rsidR="00871BFC">
        <w:rPr>
          <w:sz w:val="20"/>
          <w:szCs w:val="20"/>
        </w:rPr>
        <w:t>(1)</w:t>
      </w:r>
      <w:r w:rsidRPr="00366EEE">
        <w:rPr>
          <w:sz w:val="20"/>
          <w:szCs w:val="20"/>
        </w:rPr>
        <w:t>:66-73.</w:t>
      </w:r>
      <w:r w:rsidR="00871BFC">
        <w:rPr>
          <w:sz w:val="20"/>
          <w:szCs w:val="20"/>
        </w:rPr>
        <w:t xml:space="preserve"> PMID: 19272541.</w:t>
      </w:r>
    </w:p>
    <w:p w:rsidR="0055402B" w:rsidRPr="00366EEE" w:rsidRDefault="0055402B" w:rsidP="0055402B">
      <w:pPr>
        <w:rPr>
          <w:sz w:val="20"/>
          <w:szCs w:val="20"/>
        </w:rPr>
      </w:pPr>
      <w:r w:rsidRPr="00995F5E">
        <w:rPr>
          <w:b/>
          <w:sz w:val="20"/>
          <w:szCs w:val="20"/>
        </w:rPr>
        <w:t>PRO:</w:t>
      </w:r>
      <w:r w:rsidRPr="00366EEE">
        <w:rPr>
          <w:sz w:val="20"/>
          <w:szCs w:val="20"/>
        </w:rPr>
        <w:t xml:space="preserve"> Study focused on surveying 916 physician, nurse, and pharmacist members of the Society of Critical Care Medicine. The goal was to determine current use of sedation protocols and daily sedation interruption (DIS), along with the pe</w:t>
      </w:r>
      <w:r w:rsidR="00CB6BB4">
        <w:rPr>
          <w:sz w:val="20"/>
          <w:szCs w:val="20"/>
        </w:rPr>
        <w:t>rceived barriers to each. Of 64 percent</w:t>
      </w:r>
      <w:r w:rsidRPr="00366EEE">
        <w:rPr>
          <w:sz w:val="20"/>
          <w:szCs w:val="20"/>
        </w:rPr>
        <w:t xml:space="preserve"> having sedatio</w:t>
      </w:r>
      <w:r w:rsidR="00CB6BB4">
        <w:rPr>
          <w:sz w:val="20"/>
          <w:szCs w:val="20"/>
        </w:rPr>
        <w:t>n protocol, 78 percent used it for more than 50 percent</w:t>
      </w:r>
      <w:r w:rsidRPr="00366EEE">
        <w:rPr>
          <w:sz w:val="20"/>
          <w:szCs w:val="20"/>
        </w:rPr>
        <w:t xml:space="preserve"> of ventilated patients. Reasons for lack of protocol use include no physician order (35%), lack of nursing support (11%), and fear of oversedatio</w:t>
      </w:r>
      <w:r w:rsidR="00CB6BB4">
        <w:rPr>
          <w:sz w:val="20"/>
          <w:szCs w:val="20"/>
        </w:rPr>
        <w:t>n (7%). DSI was used by only 40 percent</w:t>
      </w:r>
      <w:r w:rsidRPr="00366EEE">
        <w:rPr>
          <w:sz w:val="20"/>
          <w:szCs w:val="20"/>
        </w:rPr>
        <w:t>. Barriers to DIS included lack of nursing acceptance (22%), concern about risk of patient-initiated device removal (19%), and inducement of either respiratory compromise (26%) or patient discomfort (13%). Clinicians who prefer propofol were more likely to use DIS than those who prefer benzodiazepines.</w:t>
      </w:r>
    </w:p>
    <w:p w:rsidR="0055402B" w:rsidRPr="00366EEE" w:rsidRDefault="0055402B" w:rsidP="0055402B">
      <w:pPr>
        <w:rPr>
          <w:sz w:val="20"/>
          <w:szCs w:val="20"/>
        </w:rPr>
      </w:pPr>
      <w:r w:rsidRPr="00366EEE">
        <w:rPr>
          <w:sz w:val="20"/>
          <w:szCs w:val="20"/>
        </w:rPr>
        <w:t>14. Quenot J, Ladoire S, Devoucoux F, et al. Effect of a nurse-implemented sedation protocol on the incidence of ventilator</w:t>
      </w:r>
      <w:r w:rsidR="00521E7E">
        <w:rPr>
          <w:sz w:val="20"/>
          <w:szCs w:val="20"/>
        </w:rPr>
        <w:t>-</w:t>
      </w:r>
      <w:r w:rsidRPr="00366EEE">
        <w:rPr>
          <w:sz w:val="20"/>
          <w:szCs w:val="20"/>
        </w:rPr>
        <w:t>associate</w:t>
      </w:r>
      <w:r w:rsidR="00FD522F">
        <w:rPr>
          <w:sz w:val="20"/>
          <w:szCs w:val="20"/>
        </w:rPr>
        <w:t>d</w:t>
      </w:r>
      <w:r w:rsidRPr="00366EEE">
        <w:rPr>
          <w:sz w:val="20"/>
          <w:szCs w:val="20"/>
        </w:rPr>
        <w:t xml:space="preserve"> pneumonia. Crit Care Med. 2007</w:t>
      </w:r>
      <w:r w:rsidR="00871BFC">
        <w:rPr>
          <w:sz w:val="20"/>
          <w:szCs w:val="20"/>
        </w:rPr>
        <w:t xml:space="preserve"> Sep;35(9):2031-6</w:t>
      </w:r>
      <w:r w:rsidRPr="00366EEE">
        <w:rPr>
          <w:sz w:val="20"/>
          <w:szCs w:val="20"/>
        </w:rPr>
        <w:t>.</w:t>
      </w:r>
      <w:r w:rsidR="00871BFC">
        <w:rPr>
          <w:sz w:val="20"/>
          <w:szCs w:val="20"/>
        </w:rPr>
        <w:t xml:space="preserve"> PMID: 17855817.</w:t>
      </w:r>
    </w:p>
    <w:p w:rsidR="0055402B" w:rsidRPr="00366EEE" w:rsidRDefault="0055402B" w:rsidP="0055402B">
      <w:pPr>
        <w:rPr>
          <w:sz w:val="20"/>
          <w:szCs w:val="20"/>
        </w:rPr>
      </w:pPr>
      <w:r w:rsidRPr="00995F5E">
        <w:rPr>
          <w:b/>
          <w:sz w:val="20"/>
          <w:szCs w:val="20"/>
        </w:rPr>
        <w:t>PRO:</w:t>
      </w:r>
      <w:r w:rsidRPr="00366EEE">
        <w:rPr>
          <w:sz w:val="20"/>
          <w:szCs w:val="20"/>
        </w:rPr>
        <w:t xml:space="preserve"> Study focused on 423 adult patients requiring mechanical ventilation for at least 48 hours and infusion with either midazolam or propofol</w:t>
      </w:r>
      <w:r w:rsidRPr="00B9233E">
        <w:rPr>
          <w:b/>
          <w:sz w:val="20"/>
          <w:szCs w:val="20"/>
        </w:rPr>
        <w:t>. The incidence of v</w:t>
      </w:r>
      <w:r w:rsidR="00CB6BB4">
        <w:rPr>
          <w:b/>
          <w:sz w:val="20"/>
          <w:szCs w:val="20"/>
        </w:rPr>
        <w:t>entilator-associated pneumonia VAP</w:t>
      </w:r>
      <w:r w:rsidRPr="00B9233E">
        <w:rPr>
          <w:b/>
          <w:sz w:val="20"/>
          <w:szCs w:val="20"/>
        </w:rPr>
        <w:t xml:space="preserve"> was significantly lower in the nurse-implemented protocol (NIP) group compared with the control group (6% and 15%, respectively, p=0.005). By univariate analysis (log-rank test), only use of a NIP was significantly associated with a decrease of incidence of VAP (p&lt;0.01). Additionally, NIP was found to be independently associated with a lower incidence of VAP after adjustment on Simplified Acute Physiology Score II in the multivariate Cox proportional hazards model (</w:t>
      </w:r>
      <w:r w:rsidR="00CB6BB4">
        <w:rPr>
          <w:b/>
          <w:sz w:val="20"/>
          <w:szCs w:val="20"/>
        </w:rPr>
        <w:t xml:space="preserve">hazard rate, 0.81; 95% CI, 0.62 to </w:t>
      </w:r>
      <w:r w:rsidRPr="00B9233E">
        <w:rPr>
          <w:b/>
          <w:sz w:val="20"/>
          <w:szCs w:val="20"/>
        </w:rPr>
        <w:t>0.95; p=0.03). The median duration of mechanical ventilation was significantly shorter in the NIP (4.2 days; IQR, 2.1–9.5) compared with the control group (8 days; IQR, 2.2–22</w:t>
      </w:r>
      <w:r w:rsidR="00CB6BB4">
        <w:rPr>
          <w:b/>
          <w:sz w:val="20"/>
          <w:szCs w:val="20"/>
        </w:rPr>
        <w:t>.0; p=0.001), representing a 52 percent</w:t>
      </w:r>
      <w:r w:rsidRPr="00B9233E">
        <w:rPr>
          <w:b/>
          <w:sz w:val="20"/>
          <w:szCs w:val="20"/>
        </w:rPr>
        <w:t xml:space="preserve"> relative reduction.</w:t>
      </w:r>
      <w:r w:rsidRPr="00366EEE">
        <w:rPr>
          <w:sz w:val="20"/>
          <w:szCs w:val="20"/>
        </w:rPr>
        <w:t xml:space="preserve"> Nurses used dosage table to administer medication by weight for initial and adjustment of sedatives. Level of sedation was determined using Cambridge score used to assess consciousness levels every 3 hours.</w:t>
      </w:r>
    </w:p>
    <w:p w:rsidR="0055402B" w:rsidRPr="00366EEE" w:rsidRDefault="0055402B" w:rsidP="0055402B">
      <w:pPr>
        <w:rPr>
          <w:sz w:val="20"/>
          <w:szCs w:val="20"/>
        </w:rPr>
      </w:pPr>
      <w:r w:rsidRPr="00366EEE">
        <w:rPr>
          <w:sz w:val="20"/>
          <w:szCs w:val="20"/>
        </w:rPr>
        <w:t xml:space="preserve">15. Resar R, Pronovost P, Haraden C, </w:t>
      </w:r>
      <w:r w:rsidR="00871BFC">
        <w:rPr>
          <w:sz w:val="20"/>
          <w:szCs w:val="20"/>
        </w:rPr>
        <w:t>et al</w:t>
      </w:r>
      <w:r w:rsidRPr="00366EEE">
        <w:rPr>
          <w:sz w:val="20"/>
          <w:szCs w:val="20"/>
        </w:rPr>
        <w:t>. Using a bundle approach to improve ventilator care processes and reduce ventilator-associated pneumonia. Jt Comm J Qual Patient Saf. 2005</w:t>
      </w:r>
      <w:r w:rsidR="00871BFC">
        <w:rPr>
          <w:sz w:val="20"/>
          <w:szCs w:val="20"/>
        </w:rPr>
        <w:t xml:space="preserve"> May</w:t>
      </w:r>
      <w:r w:rsidR="00DE3980">
        <w:rPr>
          <w:sz w:val="20"/>
          <w:szCs w:val="20"/>
        </w:rPr>
        <w:t>;31(5):243-</w:t>
      </w:r>
      <w:r w:rsidRPr="00366EEE">
        <w:rPr>
          <w:sz w:val="20"/>
          <w:szCs w:val="20"/>
        </w:rPr>
        <w:t>48.</w:t>
      </w:r>
      <w:r w:rsidR="00871BFC">
        <w:rPr>
          <w:sz w:val="20"/>
          <w:szCs w:val="20"/>
        </w:rPr>
        <w:t xml:space="preserve"> PID: 159660014.</w:t>
      </w:r>
    </w:p>
    <w:p w:rsidR="0055402B" w:rsidRPr="00366EEE" w:rsidRDefault="0055402B" w:rsidP="0055402B">
      <w:pPr>
        <w:rPr>
          <w:sz w:val="20"/>
          <w:szCs w:val="20"/>
        </w:rPr>
      </w:pPr>
      <w:r w:rsidRPr="00995F5E">
        <w:rPr>
          <w:b/>
          <w:sz w:val="20"/>
          <w:szCs w:val="20"/>
        </w:rPr>
        <w:t>PRO:</w:t>
      </w:r>
      <w:r w:rsidRPr="00366EEE">
        <w:rPr>
          <w:sz w:val="20"/>
          <w:szCs w:val="20"/>
        </w:rPr>
        <w:t xml:space="preserve"> Systematic </w:t>
      </w:r>
      <w:r w:rsidR="00521E7E">
        <w:rPr>
          <w:sz w:val="20"/>
          <w:szCs w:val="20"/>
        </w:rPr>
        <w:t>r</w:t>
      </w:r>
      <w:r w:rsidRPr="00366EEE">
        <w:rPr>
          <w:sz w:val="20"/>
          <w:szCs w:val="20"/>
        </w:rPr>
        <w:t>eview. This review did not specifically address a sedation vacation protocol, but reviewed the use of the Institute for Healthcare Improvement ventilator bundle. Review focused on 21 teaching hospitals, 40 community hospitals that were made u</w:t>
      </w:r>
      <w:r w:rsidR="008E378B">
        <w:rPr>
          <w:sz w:val="20"/>
          <w:szCs w:val="20"/>
        </w:rPr>
        <w:t>p of 44 medical 12 surgical ICU</w:t>
      </w:r>
      <w:r w:rsidRPr="00366EEE">
        <w:rPr>
          <w:sz w:val="20"/>
          <w:szCs w:val="20"/>
        </w:rPr>
        <w:t>s and 12 surgical ICUs. Data from 35 units showed a decrease in VAP rates with increased adherence to ventilator bundle. One of four bundle items was the use of a sedation vacation protocol.</w:t>
      </w:r>
    </w:p>
    <w:p w:rsidR="0055402B" w:rsidRPr="00366EEE" w:rsidRDefault="0055402B" w:rsidP="0055402B">
      <w:pPr>
        <w:rPr>
          <w:sz w:val="20"/>
          <w:szCs w:val="20"/>
        </w:rPr>
      </w:pPr>
      <w:r w:rsidRPr="00366EEE">
        <w:rPr>
          <w:sz w:val="20"/>
          <w:szCs w:val="20"/>
        </w:rPr>
        <w:lastRenderedPageBreak/>
        <w:t xml:space="preserve">16. Marelich GP, Murin S, Battistella F, </w:t>
      </w:r>
      <w:r w:rsidR="00871BFC">
        <w:rPr>
          <w:sz w:val="20"/>
          <w:szCs w:val="20"/>
        </w:rPr>
        <w:t>et al</w:t>
      </w:r>
      <w:r w:rsidRPr="00366EEE">
        <w:rPr>
          <w:sz w:val="20"/>
          <w:szCs w:val="20"/>
        </w:rPr>
        <w:t>. Protocol weaning of mechanical ventilation in medical and surgical patients by respiratory care practitioners and nurses: Effect on weaning time and incidence of ventilator-associated pneumonia. Chest. 2000</w:t>
      </w:r>
      <w:r w:rsidR="00871BFC">
        <w:rPr>
          <w:sz w:val="20"/>
          <w:szCs w:val="20"/>
        </w:rPr>
        <w:t xml:space="preserve"> Aug</w:t>
      </w:r>
      <w:r w:rsidR="00DE3980">
        <w:rPr>
          <w:sz w:val="20"/>
          <w:szCs w:val="20"/>
        </w:rPr>
        <w:t>;118(2):459-</w:t>
      </w:r>
      <w:r w:rsidRPr="00366EEE">
        <w:rPr>
          <w:sz w:val="20"/>
          <w:szCs w:val="20"/>
        </w:rPr>
        <w:t>67.</w:t>
      </w:r>
      <w:r w:rsidR="00871BFC">
        <w:rPr>
          <w:sz w:val="20"/>
          <w:szCs w:val="20"/>
        </w:rPr>
        <w:t xml:space="preserve"> PMID: 10936141.</w:t>
      </w:r>
    </w:p>
    <w:p w:rsidR="0055402B" w:rsidRPr="00366EEE" w:rsidRDefault="0055402B" w:rsidP="0055402B">
      <w:pPr>
        <w:rPr>
          <w:sz w:val="20"/>
          <w:szCs w:val="20"/>
        </w:rPr>
      </w:pPr>
      <w:r w:rsidRPr="00995F5E">
        <w:rPr>
          <w:b/>
          <w:sz w:val="20"/>
          <w:szCs w:val="20"/>
        </w:rPr>
        <w:t>PRO:</w:t>
      </w:r>
      <w:r w:rsidRPr="00366EEE">
        <w:rPr>
          <w:sz w:val="20"/>
          <w:szCs w:val="20"/>
        </w:rPr>
        <w:t xml:space="preserve"> Ventilator </w:t>
      </w:r>
      <w:r w:rsidR="00521E7E">
        <w:rPr>
          <w:sz w:val="20"/>
          <w:szCs w:val="20"/>
        </w:rPr>
        <w:t>m</w:t>
      </w:r>
      <w:r w:rsidRPr="00366EEE">
        <w:rPr>
          <w:sz w:val="20"/>
          <w:szCs w:val="20"/>
        </w:rPr>
        <w:t xml:space="preserve">anagement </w:t>
      </w:r>
      <w:r w:rsidR="00521E7E">
        <w:rPr>
          <w:sz w:val="20"/>
          <w:szCs w:val="20"/>
        </w:rPr>
        <w:t>p</w:t>
      </w:r>
      <w:r w:rsidRPr="00366EEE">
        <w:rPr>
          <w:sz w:val="20"/>
          <w:szCs w:val="20"/>
        </w:rPr>
        <w:t xml:space="preserve">rotocol (VMP) </w:t>
      </w:r>
      <w:r w:rsidR="00521E7E">
        <w:rPr>
          <w:sz w:val="20"/>
          <w:szCs w:val="20"/>
        </w:rPr>
        <w:t>v</w:t>
      </w:r>
      <w:r w:rsidRPr="00366EEE">
        <w:rPr>
          <w:sz w:val="20"/>
          <w:szCs w:val="20"/>
        </w:rPr>
        <w:t xml:space="preserve">ersus </w:t>
      </w:r>
      <w:r w:rsidR="00521E7E">
        <w:rPr>
          <w:sz w:val="20"/>
          <w:szCs w:val="20"/>
        </w:rPr>
        <w:t>c</w:t>
      </w:r>
      <w:r w:rsidRPr="00366EEE">
        <w:rPr>
          <w:sz w:val="20"/>
          <w:szCs w:val="20"/>
        </w:rPr>
        <w:t xml:space="preserve">ontrol. This article did not focus on sedation vacation intervention, but the use of VMP that used spontaneous breathing trials. Study findings were based on 335 patients from the medical and surgical intensive care units that required mechanical ventilation. </w:t>
      </w:r>
      <w:r w:rsidRPr="00366EEE">
        <w:rPr>
          <w:b/>
          <w:sz w:val="20"/>
          <w:szCs w:val="20"/>
        </w:rPr>
        <w:t>The duration of mechanical ventilation for patients was decreased from a median of 124 hours for the control group to 68 hours in the VMP group (p=0.0001).</w:t>
      </w:r>
    </w:p>
    <w:p w:rsidR="0055402B" w:rsidRPr="00366EEE" w:rsidRDefault="0055402B" w:rsidP="0055402B">
      <w:pPr>
        <w:rPr>
          <w:sz w:val="20"/>
          <w:szCs w:val="20"/>
        </w:rPr>
      </w:pPr>
      <w:r w:rsidRPr="00366EEE">
        <w:rPr>
          <w:sz w:val="20"/>
          <w:szCs w:val="20"/>
        </w:rPr>
        <w:t xml:space="preserve">17. Kress </w:t>
      </w:r>
      <w:r w:rsidR="00871BFC">
        <w:rPr>
          <w:sz w:val="20"/>
          <w:szCs w:val="20"/>
        </w:rPr>
        <w:t>J, Pohlman A, O'Connor M, et al</w:t>
      </w:r>
      <w:r w:rsidRPr="00366EEE">
        <w:rPr>
          <w:sz w:val="20"/>
          <w:szCs w:val="20"/>
        </w:rPr>
        <w:t>. Daily interruption of sedative infusion in critically ill under</w:t>
      </w:r>
      <w:r w:rsidR="008E378B">
        <w:rPr>
          <w:sz w:val="20"/>
          <w:szCs w:val="20"/>
        </w:rPr>
        <w:t xml:space="preserve">going mechanical ventilation. N Engl J </w:t>
      </w:r>
      <w:r w:rsidRPr="00366EEE">
        <w:rPr>
          <w:sz w:val="20"/>
          <w:szCs w:val="20"/>
        </w:rPr>
        <w:t>Med. 2000</w:t>
      </w:r>
      <w:r w:rsidR="00871BFC">
        <w:rPr>
          <w:sz w:val="20"/>
          <w:szCs w:val="20"/>
        </w:rPr>
        <w:t xml:space="preserve"> May;342(20):1471-</w:t>
      </w:r>
      <w:r w:rsidRPr="00366EEE">
        <w:rPr>
          <w:sz w:val="20"/>
          <w:szCs w:val="20"/>
        </w:rPr>
        <w:t>7.</w:t>
      </w:r>
      <w:r w:rsidR="00871BFC">
        <w:rPr>
          <w:sz w:val="20"/>
          <w:szCs w:val="20"/>
        </w:rPr>
        <w:t xml:space="preserve"> PMID: 10816184.</w:t>
      </w:r>
    </w:p>
    <w:p w:rsidR="0055402B" w:rsidRPr="00366EEE" w:rsidRDefault="0055402B" w:rsidP="0055402B">
      <w:pPr>
        <w:rPr>
          <w:sz w:val="20"/>
          <w:szCs w:val="20"/>
        </w:rPr>
      </w:pPr>
      <w:r w:rsidRPr="00995F5E">
        <w:rPr>
          <w:b/>
          <w:sz w:val="20"/>
          <w:szCs w:val="20"/>
        </w:rPr>
        <w:t>PRO:</w:t>
      </w:r>
      <w:r w:rsidR="00CB6BB4">
        <w:rPr>
          <w:sz w:val="20"/>
          <w:szCs w:val="20"/>
        </w:rPr>
        <w:t xml:space="preserve"> Sedation </w:t>
      </w:r>
      <w:r w:rsidR="00521E7E">
        <w:rPr>
          <w:sz w:val="20"/>
          <w:szCs w:val="20"/>
        </w:rPr>
        <w:t>i</w:t>
      </w:r>
      <w:r w:rsidR="00CB6BB4">
        <w:rPr>
          <w:sz w:val="20"/>
          <w:szCs w:val="20"/>
        </w:rPr>
        <w:t>nterruption v</w:t>
      </w:r>
      <w:r w:rsidRPr="00366EEE">
        <w:rPr>
          <w:sz w:val="20"/>
          <w:szCs w:val="20"/>
        </w:rPr>
        <w:t xml:space="preserve">ersus </w:t>
      </w:r>
      <w:r w:rsidR="00521E7E">
        <w:rPr>
          <w:sz w:val="20"/>
          <w:szCs w:val="20"/>
        </w:rPr>
        <w:t>c</w:t>
      </w:r>
      <w:r w:rsidRPr="00366EEE">
        <w:rPr>
          <w:sz w:val="20"/>
          <w:szCs w:val="20"/>
        </w:rPr>
        <w:t xml:space="preserve">ontrol. Study focused on 128 adult patients who were receiving mechanical ventilation and continuous infusions of sedative drugs in a medical </w:t>
      </w:r>
      <w:r w:rsidR="00CB6BB4">
        <w:rPr>
          <w:sz w:val="20"/>
          <w:szCs w:val="20"/>
        </w:rPr>
        <w:t>ICU</w:t>
      </w:r>
      <w:r w:rsidRPr="00366EEE">
        <w:rPr>
          <w:sz w:val="20"/>
          <w:szCs w:val="20"/>
        </w:rPr>
        <w:t xml:space="preserve">. In the intervention group, the sedative infusions were interrupted until the patients were awake, on a daily basis; in the control group, the infusions were interrupted only at the discretion of the clinicians in the intensive care unit. </w:t>
      </w:r>
      <w:r w:rsidRPr="00366EEE">
        <w:rPr>
          <w:b/>
          <w:sz w:val="20"/>
          <w:szCs w:val="20"/>
        </w:rPr>
        <w:t xml:space="preserve">The median duration of mechanical ventilation was 4.9 days in the intervention group, as compared with 7.3 days in the control group (p=0.004), and the median length of stay in the </w:t>
      </w:r>
      <w:r w:rsidR="00CB6BB4">
        <w:rPr>
          <w:b/>
          <w:sz w:val="20"/>
          <w:szCs w:val="20"/>
        </w:rPr>
        <w:t>ICU</w:t>
      </w:r>
      <w:r w:rsidRPr="00366EEE">
        <w:rPr>
          <w:b/>
          <w:sz w:val="20"/>
          <w:szCs w:val="20"/>
        </w:rPr>
        <w:t xml:space="preserve"> was 6.4 days compared with 9.9 days, respectively (p=0.02). The study group also required less neurological workup to evaluate mental status changes (9% vs. 27% [p&lt;0.02]).</w:t>
      </w:r>
      <w:r w:rsidRPr="00366EEE">
        <w:rPr>
          <w:sz w:val="20"/>
          <w:szCs w:val="20"/>
        </w:rPr>
        <w:t xml:space="preserve"> Findings show that daily interruption of sedative drug infusions decreased the duration of mechanical ventilation and the length of stay in the intensive care unit.</w:t>
      </w:r>
    </w:p>
    <w:p w:rsidR="0055402B" w:rsidRPr="00366EEE" w:rsidRDefault="0055402B" w:rsidP="0055402B">
      <w:pPr>
        <w:rPr>
          <w:sz w:val="20"/>
          <w:szCs w:val="20"/>
        </w:rPr>
      </w:pPr>
      <w:r w:rsidRPr="00366EEE">
        <w:rPr>
          <w:sz w:val="20"/>
          <w:szCs w:val="20"/>
        </w:rPr>
        <w:t>18. Brook AD, Ahrens TS, Schaiff R, et al. Effect of a nursing-implemented sedation protocol on the duration of mechanical ventilation. Crit Care Med. 1999</w:t>
      </w:r>
      <w:r w:rsidR="00871BFC">
        <w:rPr>
          <w:sz w:val="20"/>
          <w:szCs w:val="20"/>
        </w:rPr>
        <w:t xml:space="preserve"> Dec;27(12):2609-</w:t>
      </w:r>
      <w:r w:rsidRPr="00366EEE">
        <w:rPr>
          <w:sz w:val="20"/>
          <w:szCs w:val="20"/>
        </w:rPr>
        <w:t>15.</w:t>
      </w:r>
      <w:r w:rsidR="00871BFC">
        <w:rPr>
          <w:sz w:val="20"/>
          <w:szCs w:val="20"/>
        </w:rPr>
        <w:t xml:space="preserve"> PMID: 10628598.</w:t>
      </w:r>
    </w:p>
    <w:p w:rsidR="0055402B" w:rsidRPr="00366EEE" w:rsidRDefault="0055402B" w:rsidP="0055402B">
      <w:pPr>
        <w:rPr>
          <w:sz w:val="20"/>
          <w:szCs w:val="20"/>
        </w:rPr>
      </w:pPr>
      <w:r w:rsidRPr="00995F5E">
        <w:rPr>
          <w:b/>
          <w:sz w:val="20"/>
          <w:szCs w:val="20"/>
        </w:rPr>
        <w:t>PRO:</w:t>
      </w:r>
      <w:r w:rsidR="00CB6BB4">
        <w:rPr>
          <w:sz w:val="20"/>
          <w:szCs w:val="20"/>
        </w:rPr>
        <w:t xml:space="preserve"> Protocol-</w:t>
      </w:r>
      <w:r w:rsidR="00521E7E">
        <w:rPr>
          <w:sz w:val="20"/>
          <w:szCs w:val="20"/>
        </w:rPr>
        <w:t>d</w:t>
      </w:r>
      <w:r w:rsidR="00CB6BB4">
        <w:rPr>
          <w:sz w:val="20"/>
          <w:szCs w:val="20"/>
        </w:rPr>
        <w:t>irected v</w:t>
      </w:r>
      <w:r w:rsidRPr="00366EEE">
        <w:rPr>
          <w:sz w:val="20"/>
          <w:szCs w:val="20"/>
        </w:rPr>
        <w:t xml:space="preserve">ersus </w:t>
      </w:r>
      <w:r w:rsidR="00521E7E">
        <w:rPr>
          <w:sz w:val="20"/>
          <w:szCs w:val="20"/>
        </w:rPr>
        <w:t>n</w:t>
      </w:r>
      <w:r w:rsidRPr="00366EEE">
        <w:rPr>
          <w:sz w:val="20"/>
          <w:szCs w:val="20"/>
        </w:rPr>
        <w:t>on–</w:t>
      </w:r>
      <w:r w:rsidR="00521E7E">
        <w:rPr>
          <w:sz w:val="20"/>
          <w:szCs w:val="20"/>
        </w:rPr>
        <w:t>p</w:t>
      </w:r>
      <w:r w:rsidRPr="00366EEE">
        <w:rPr>
          <w:sz w:val="20"/>
          <w:szCs w:val="20"/>
        </w:rPr>
        <w:t>rotocol-</w:t>
      </w:r>
      <w:r w:rsidR="00521E7E">
        <w:rPr>
          <w:sz w:val="20"/>
          <w:szCs w:val="20"/>
        </w:rPr>
        <w:t>d</w:t>
      </w:r>
      <w:r w:rsidRPr="00366EEE">
        <w:rPr>
          <w:sz w:val="20"/>
          <w:szCs w:val="20"/>
        </w:rPr>
        <w:t xml:space="preserve">irected </w:t>
      </w:r>
      <w:r w:rsidR="00521E7E">
        <w:rPr>
          <w:sz w:val="20"/>
          <w:szCs w:val="20"/>
        </w:rPr>
        <w:t>s</w:t>
      </w:r>
      <w:r w:rsidRPr="00366EEE">
        <w:rPr>
          <w:sz w:val="20"/>
          <w:szCs w:val="20"/>
        </w:rPr>
        <w:t xml:space="preserve">edation. Study was focused on 321 adult patients who were admitted into the medical </w:t>
      </w:r>
      <w:r w:rsidR="00CB6BB4">
        <w:rPr>
          <w:sz w:val="20"/>
          <w:szCs w:val="20"/>
        </w:rPr>
        <w:t>ICU</w:t>
      </w:r>
      <w:r w:rsidRPr="00366EEE">
        <w:rPr>
          <w:sz w:val="20"/>
          <w:szCs w:val="20"/>
        </w:rPr>
        <w:t xml:space="preserve">. </w:t>
      </w:r>
      <w:r w:rsidRPr="00E67F00">
        <w:rPr>
          <w:b/>
          <w:sz w:val="20"/>
          <w:szCs w:val="20"/>
        </w:rPr>
        <w:t>The median duration of mechanical ventilati</w:t>
      </w:r>
      <w:r w:rsidR="00CB6BB4" w:rsidRPr="00E67F00">
        <w:rPr>
          <w:b/>
          <w:sz w:val="20"/>
          <w:szCs w:val="20"/>
        </w:rPr>
        <w:t xml:space="preserve">on was 55.9 hours (95% CI, 41.0 to </w:t>
      </w:r>
      <w:r w:rsidRPr="00E67F00">
        <w:rPr>
          <w:b/>
          <w:sz w:val="20"/>
          <w:szCs w:val="20"/>
        </w:rPr>
        <w:t>90.0 hours) for patients managed with protocol-directed sedatio</w:t>
      </w:r>
      <w:r w:rsidR="00CB6BB4" w:rsidRPr="00E67F00">
        <w:rPr>
          <w:b/>
          <w:sz w:val="20"/>
          <w:szCs w:val="20"/>
        </w:rPr>
        <w:t xml:space="preserve">n and 117.0 hours (95% CI, 96.0 to </w:t>
      </w:r>
      <w:r w:rsidRPr="00E67F00">
        <w:rPr>
          <w:b/>
          <w:sz w:val="20"/>
          <w:szCs w:val="20"/>
        </w:rPr>
        <w:t xml:space="preserve">155.6 hours) for patients receiving non–protocol-directed sedation. Kaplan-Meier analysis demonstrated that patients in the protocol-directed sedation group had statistically shorter durations of mechanical ventilation than patients in the non–protocol-directed sedation group (chi-square=7.00, p=0.008, log rank test; chi-square=8.54, p=0.004, Wilcoxon's test; chi-square=9.18, p=0.003, -2 log test). Lengths of stay in the intensive care unit (5.7 ± 5.9 days vs. 7.5 ± 6.5 days; p=0.013) and hospital (14.0 ± 17.3 days vs. 19.9 ± 24.2 days; p&lt;0.001) were also significantly shorter among patients in the protocol-directed sedation group. </w:t>
      </w:r>
      <w:r w:rsidRPr="00F3052E">
        <w:rPr>
          <w:b/>
          <w:sz w:val="20"/>
          <w:szCs w:val="20"/>
        </w:rPr>
        <w:t>Among the 132 patients (41.1%) receiving continuous intravenous sedation, those in the protocol-directed sedation group (n=66) had a significantly shorter duration of continuous intravenous sedation than those in the non–protocol-directed sedation group (n=66) (3.5 ± 4.0 days vs. 5.6 ± 6.4 days; p=0.003). Patients in the protocol-directed sedation group also had a significantly lower tracheostomy rate compared with patients in the non–protocol-directed sedation grou</w:t>
      </w:r>
      <w:r w:rsidR="00CB6BB4" w:rsidRPr="00E67F00">
        <w:rPr>
          <w:b/>
          <w:sz w:val="20"/>
          <w:szCs w:val="20"/>
        </w:rPr>
        <w:t>p (10 of 162 patients [6.2%] vs.</w:t>
      </w:r>
      <w:r w:rsidRPr="00E67F00">
        <w:rPr>
          <w:b/>
          <w:sz w:val="20"/>
          <w:szCs w:val="20"/>
        </w:rPr>
        <w:t xml:space="preserve"> 21 of 159 patients [13.2%], p=0.038).</w:t>
      </w:r>
    </w:p>
    <w:p w:rsidR="0055402B" w:rsidRPr="00366EEE" w:rsidRDefault="0055402B" w:rsidP="0055402B">
      <w:pPr>
        <w:rPr>
          <w:sz w:val="20"/>
          <w:szCs w:val="20"/>
        </w:rPr>
      </w:pPr>
      <w:r w:rsidRPr="00366EEE">
        <w:rPr>
          <w:sz w:val="20"/>
          <w:szCs w:val="20"/>
        </w:rPr>
        <w:t>19. Barr J, Fraser GL, Puntillo K, et al. Clinical practice guidelines for the management of pain, agitation, and delirium in adult patients in the intensive care unit. Crit Care Med. 2013</w:t>
      </w:r>
      <w:r w:rsidR="00DE3980">
        <w:rPr>
          <w:sz w:val="20"/>
          <w:szCs w:val="20"/>
        </w:rPr>
        <w:t xml:space="preserve"> Jan</w:t>
      </w:r>
      <w:r w:rsidRPr="00366EEE">
        <w:rPr>
          <w:sz w:val="20"/>
          <w:szCs w:val="20"/>
        </w:rPr>
        <w:t>;41(1):263-306.</w:t>
      </w:r>
      <w:r w:rsidR="00DE3980">
        <w:rPr>
          <w:sz w:val="20"/>
          <w:szCs w:val="20"/>
        </w:rPr>
        <w:t xml:space="preserve"> PMID: 23269131.</w:t>
      </w:r>
    </w:p>
    <w:p w:rsidR="0055402B" w:rsidRPr="00366EEE" w:rsidRDefault="0055402B" w:rsidP="0055402B">
      <w:pPr>
        <w:rPr>
          <w:sz w:val="20"/>
          <w:szCs w:val="20"/>
        </w:rPr>
      </w:pPr>
      <w:r w:rsidRPr="00995F5E">
        <w:rPr>
          <w:b/>
          <w:sz w:val="20"/>
          <w:szCs w:val="20"/>
        </w:rPr>
        <w:t>PRO:</w:t>
      </w:r>
      <w:r w:rsidRPr="00366EEE">
        <w:rPr>
          <w:sz w:val="20"/>
          <w:szCs w:val="20"/>
        </w:rPr>
        <w:t xml:space="preserve"> Use either a daily sedation interruption or titrate sedative medications to maintain light levels of sedation. Suggest using non-benzodiazepines rather than benzodiazepine infusions for sedation. Use sedation protocols and daily checklists to integrate and to facilitate management of pain, sedation, and delirium in all intensive care unit patients.</w:t>
      </w:r>
    </w:p>
    <w:p w:rsidR="0055402B" w:rsidRPr="00366EEE" w:rsidRDefault="0055402B" w:rsidP="0055402B">
      <w:pPr>
        <w:rPr>
          <w:sz w:val="20"/>
          <w:szCs w:val="20"/>
        </w:rPr>
      </w:pPr>
      <w:r w:rsidRPr="00366EEE">
        <w:rPr>
          <w:sz w:val="20"/>
          <w:szCs w:val="20"/>
        </w:rPr>
        <w:lastRenderedPageBreak/>
        <w:t>20. Patel SB, Kress JP. Sedation and analgesia in the mechanically ventilated patient. Am J Respir Crit Care Med. 2012</w:t>
      </w:r>
      <w:r w:rsidR="00DE3980">
        <w:rPr>
          <w:sz w:val="20"/>
          <w:szCs w:val="20"/>
        </w:rPr>
        <w:t xml:space="preserve"> May;185(5):486-</w:t>
      </w:r>
      <w:r w:rsidRPr="00366EEE">
        <w:rPr>
          <w:sz w:val="20"/>
          <w:szCs w:val="20"/>
        </w:rPr>
        <w:t>97.</w:t>
      </w:r>
      <w:r w:rsidR="00DE3980">
        <w:rPr>
          <w:sz w:val="20"/>
          <w:szCs w:val="20"/>
        </w:rPr>
        <w:t xml:space="preserve"> PMID: 22016443.</w:t>
      </w:r>
    </w:p>
    <w:p w:rsidR="0055402B" w:rsidRPr="00366EEE" w:rsidRDefault="0055402B" w:rsidP="0055402B">
      <w:pPr>
        <w:rPr>
          <w:sz w:val="20"/>
          <w:szCs w:val="20"/>
        </w:rPr>
      </w:pPr>
      <w:r w:rsidRPr="00995F5E">
        <w:rPr>
          <w:b/>
          <w:sz w:val="20"/>
          <w:szCs w:val="20"/>
        </w:rPr>
        <w:t>PRO:</w:t>
      </w:r>
      <w:r w:rsidRPr="00366EEE">
        <w:rPr>
          <w:sz w:val="20"/>
          <w:szCs w:val="20"/>
        </w:rPr>
        <w:t xml:space="preserve"> Consensus guidelines for sedation management for mechanically ventilated patients in the ICU. Sedation and analgesia are important components of care the mechanically ventilated patient in the ICU. Objective assessments of pain, sedation, and agitation have been validated for use in the ICU for assessment and titration of medications. An evidence-based strategy for administering these drugs can lead to improvements in short-and long-term outcomes of the mechanically ventilated patient.</w:t>
      </w:r>
    </w:p>
    <w:p w:rsidR="0055402B" w:rsidRPr="00366EEE" w:rsidRDefault="0055402B" w:rsidP="0055402B">
      <w:pPr>
        <w:rPr>
          <w:sz w:val="20"/>
          <w:szCs w:val="20"/>
        </w:rPr>
      </w:pPr>
      <w:r w:rsidRPr="00366EEE">
        <w:rPr>
          <w:sz w:val="20"/>
          <w:szCs w:val="20"/>
        </w:rPr>
        <w:t xml:space="preserve">21. Blackwood B, Alderdice F, Burns K, </w:t>
      </w:r>
      <w:r w:rsidR="00DE3980">
        <w:rPr>
          <w:sz w:val="20"/>
          <w:szCs w:val="20"/>
        </w:rPr>
        <w:t>et al</w:t>
      </w:r>
      <w:r w:rsidRPr="00366EEE">
        <w:rPr>
          <w:sz w:val="20"/>
          <w:szCs w:val="20"/>
        </w:rPr>
        <w:t>. Use of weaning protocols for reducing duration of mechanical ventilation in critically ill adult patients: Cochran systematic review and meta-analysis. BMJ. 2011</w:t>
      </w:r>
      <w:r w:rsidR="00DE3980">
        <w:rPr>
          <w:sz w:val="20"/>
          <w:szCs w:val="20"/>
        </w:rPr>
        <w:t xml:space="preserve"> Jan 13;342:c7237. PMID: 21233157.</w:t>
      </w:r>
    </w:p>
    <w:p w:rsidR="0055402B" w:rsidRPr="00366EEE" w:rsidRDefault="0055402B" w:rsidP="0055402B">
      <w:pPr>
        <w:rPr>
          <w:sz w:val="20"/>
          <w:szCs w:val="20"/>
        </w:rPr>
      </w:pPr>
      <w:r w:rsidRPr="00995F5E">
        <w:rPr>
          <w:b/>
          <w:sz w:val="20"/>
          <w:szCs w:val="20"/>
        </w:rPr>
        <w:t>PRO:</w:t>
      </w:r>
      <w:r w:rsidRPr="00366EEE">
        <w:rPr>
          <w:sz w:val="20"/>
          <w:szCs w:val="20"/>
        </w:rPr>
        <w:t xml:space="preserve"> Systematic </w:t>
      </w:r>
      <w:r w:rsidR="00521E7E">
        <w:rPr>
          <w:sz w:val="20"/>
          <w:szCs w:val="20"/>
        </w:rPr>
        <w:t>r</w:t>
      </w:r>
      <w:r w:rsidRPr="00366EEE">
        <w:rPr>
          <w:sz w:val="20"/>
          <w:szCs w:val="20"/>
        </w:rPr>
        <w:t xml:space="preserve">eview. Study focused on 11 RCTs that evaluated the effect of weaning protocols on the duration of mechanical ventilation in 1, 971 critically ill patients in the ICU. Study findings showed that weaning protocol was associated with significant reduction in the mean duration </w:t>
      </w:r>
      <w:r w:rsidR="008E378B">
        <w:rPr>
          <w:sz w:val="20"/>
          <w:szCs w:val="20"/>
        </w:rPr>
        <w:t xml:space="preserve">of mechanical ventilation by 25 percent (95% CI 9% to </w:t>
      </w:r>
      <w:r w:rsidRPr="00366EEE">
        <w:rPr>
          <w:sz w:val="20"/>
          <w:szCs w:val="20"/>
        </w:rPr>
        <w:t>39%, p=0.006; 10 trials); the durati</w:t>
      </w:r>
      <w:r w:rsidR="008124C1">
        <w:rPr>
          <w:sz w:val="20"/>
          <w:szCs w:val="20"/>
        </w:rPr>
        <w:t>on of weaning was reduced by 78 percent</w:t>
      </w:r>
      <w:r w:rsidRPr="00366EEE">
        <w:rPr>
          <w:sz w:val="20"/>
          <w:szCs w:val="20"/>
        </w:rPr>
        <w:t xml:space="preserve"> (31%–93%, p=0.009; six trials); and length of stay in the </w:t>
      </w:r>
      <w:r w:rsidR="008124C1">
        <w:rPr>
          <w:sz w:val="20"/>
          <w:szCs w:val="20"/>
        </w:rPr>
        <w:t>ICU</w:t>
      </w:r>
      <w:r w:rsidR="008E378B">
        <w:rPr>
          <w:sz w:val="20"/>
          <w:szCs w:val="20"/>
        </w:rPr>
        <w:t xml:space="preserve"> by 10 percent</w:t>
      </w:r>
      <w:r w:rsidRPr="00366EEE">
        <w:rPr>
          <w:sz w:val="20"/>
          <w:szCs w:val="20"/>
        </w:rPr>
        <w:t xml:space="preserve"> (2%–19%, p=0.02; eight trials).</w:t>
      </w:r>
    </w:p>
    <w:p w:rsidR="0055402B" w:rsidRPr="00366EEE" w:rsidRDefault="0055402B" w:rsidP="0055402B">
      <w:pPr>
        <w:rPr>
          <w:sz w:val="20"/>
          <w:szCs w:val="20"/>
        </w:rPr>
      </w:pPr>
    </w:p>
    <w:p w:rsidR="0055402B" w:rsidRDefault="0055402B" w:rsidP="007B2931">
      <w:pPr>
        <w:rPr>
          <w:sz w:val="20"/>
          <w:szCs w:val="20"/>
        </w:rPr>
      </w:pPr>
    </w:p>
    <w:p w:rsidR="00E67F00" w:rsidRDefault="00E67F00" w:rsidP="007B2931">
      <w:pPr>
        <w:rPr>
          <w:sz w:val="20"/>
          <w:szCs w:val="20"/>
        </w:rPr>
      </w:pPr>
    </w:p>
    <w:p w:rsidR="00E67F00" w:rsidRDefault="00E67F00" w:rsidP="007B2931">
      <w:pPr>
        <w:rPr>
          <w:sz w:val="20"/>
          <w:szCs w:val="20"/>
        </w:rPr>
      </w:pPr>
    </w:p>
    <w:p w:rsidR="00E67F00" w:rsidRDefault="00E67F00" w:rsidP="007B2931">
      <w:pPr>
        <w:rPr>
          <w:sz w:val="20"/>
          <w:szCs w:val="20"/>
        </w:rPr>
      </w:pPr>
    </w:p>
    <w:p w:rsidR="00E67F00" w:rsidRDefault="00E67F00" w:rsidP="007B2931">
      <w:pPr>
        <w:rPr>
          <w:sz w:val="20"/>
          <w:szCs w:val="20"/>
        </w:rPr>
      </w:pPr>
    </w:p>
    <w:p w:rsidR="00E67F00" w:rsidRDefault="00E67F00" w:rsidP="007B2931">
      <w:pPr>
        <w:rPr>
          <w:sz w:val="20"/>
          <w:szCs w:val="20"/>
        </w:rPr>
      </w:pPr>
    </w:p>
    <w:p w:rsidR="00E67F00" w:rsidRDefault="00E67F00" w:rsidP="007B2931">
      <w:pPr>
        <w:rPr>
          <w:sz w:val="20"/>
          <w:szCs w:val="20"/>
        </w:rPr>
      </w:pPr>
    </w:p>
    <w:p w:rsidR="00E67F00" w:rsidRDefault="00E67F00" w:rsidP="007B2931">
      <w:pPr>
        <w:rPr>
          <w:sz w:val="20"/>
          <w:szCs w:val="20"/>
        </w:rPr>
      </w:pPr>
    </w:p>
    <w:p w:rsidR="00E67F00" w:rsidRPr="00E67F00" w:rsidRDefault="00E67F00" w:rsidP="007B2931">
      <w:pPr>
        <w:rPr>
          <w:sz w:val="20"/>
          <w:szCs w:val="20"/>
        </w:rPr>
      </w:pPr>
    </w:p>
    <w:p w:rsidR="003825A4" w:rsidRDefault="003825A4" w:rsidP="003825A4">
      <w:pPr>
        <w:pStyle w:val="Footer"/>
        <w:jc w:val="right"/>
        <w:rPr>
          <w:rStyle w:val="Emphasis"/>
          <w:i w:val="0"/>
          <w:sz w:val="20"/>
          <w:szCs w:val="20"/>
        </w:rPr>
      </w:pPr>
    </w:p>
    <w:p w:rsidR="003825A4" w:rsidRDefault="003825A4" w:rsidP="003825A4">
      <w:pPr>
        <w:pStyle w:val="Footer"/>
        <w:jc w:val="right"/>
        <w:rPr>
          <w:rStyle w:val="Emphasis"/>
          <w:i w:val="0"/>
          <w:sz w:val="20"/>
          <w:szCs w:val="20"/>
        </w:rPr>
      </w:pPr>
    </w:p>
    <w:p w:rsidR="003825A4" w:rsidRDefault="003825A4" w:rsidP="003825A4">
      <w:pPr>
        <w:pStyle w:val="Footer"/>
        <w:jc w:val="right"/>
        <w:rPr>
          <w:rStyle w:val="Emphasis"/>
          <w:i w:val="0"/>
          <w:sz w:val="20"/>
          <w:szCs w:val="20"/>
        </w:rPr>
      </w:pPr>
    </w:p>
    <w:p w:rsidR="003825A4" w:rsidRDefault="003825A4" w:rsidP="003825A4">
      <w:pPr>
        <w:pStyle w:val="Footer"/>
        <w:jc w:val="right"/>
        <w:rPr>
          <w:rStyle w:val="Emphasis"/>
          <w:i w:val="0"/>
          <w:sz w:val="20"/>
          <w:szCs w:val="20"/>
        </w:rPr>
      </w:pPr>
    </w:p>
    <w:p w:rsidR="003825A4" w:rsidRDefault="003825A4" w:rsidP="003825A4">
      <w:pPr>
        <w:pStyle w:val="Footer"/>
        <w:jc w:val="right"/>
        <w:rPr>
          <w:rStyle w:val="Emphasis"/>
          <w:i w:val="0"/>
          <w:sz w:val="20"/>
          <w:szCs w:val="20"/>
        </w:rPr>
      </w:pPr>
    </w:p>
    <w:p w:rsidR="003825A4" w:rsidRDefault="003825A4" w:rsidP="003825A4">
      <w:pPr>
        <w:pStyle w:val="Footer"/>
        <w:jc w:val="right"/>
        <w:rPr>
          <w:rStyle w:val="Emphasis"/>
          <w:i w:val="0"/>
          <w:sz w:val="20"/>
          <w:szCs w:val="20"/>
        </w:rPr>
      </w:pPr>
    </w:p>
    <w:p w:rsidR="003825A4" w:rsidRDefault="003825A4" w:rsidP="003825A4">
      <w:pPr>
        <w:pStyle w:val="Footer"/>
        <w:jc w:val="right"/>
        <w:rPr>
          <w:rStyle w:val="Emphasis"/>
          <w:i w:val="0"/>
          <w:sz w:val="20"/>
          <w:szCs w:val="20"/>
        </w:rPr>
      </w:pPr>
    </w:p>
    <w:p w:rsidR="003825A4" w:rsidRDefault="003825A4" w:rsidP="003825A4">
      <w:pPr>
        <w:pStyle w:val="Footer"/>
        <w:jc w:val="right"/>
        <w:rPr>
          <w:rStyle w:val="Emphasis"/>
          <w:i w:val="0"/>
          <w:sz w:val="20"/>
          <w:szCs w:val="20"/>
        </w:rPr>
      </w:pPr>
    </w:p>
    <w:p w:rsidR="003825A4" w:rsidRDefault="003825A4" w:rsidP="003825A4">
      <w:pPr>
        <w:pStyle w:val="Footer"/>
        <w:jc w:val="right"/>
        <w:rPr>
          <w:rStyle w:val="Emphasis"/>
          <w:i w:val="0"/>
          <w:sz w:val="20"/>
          <w:szCs w:val="20"/>
        </w:rPr>
      </w:pPr>
    </w:p>
    <w:p w:rsidR="00E67F00" w:rsidRPr="003825A4" w:rsidRDefault="003825A4" w:rsidP="003825A4">
      <w:pPr>
        <w:pStyle w:val="Footer"/>
        <w:jc w:val="right"/>
        <w:rPr>
          <w:rStyle w:val="Emphasis"/>
          <w:i w:val="0"/>
          <w:sz w:val="20"/>
          <w:szCs w:val="20"/>
        </w:rPr>
      </w:pPr>
      <w:bookmarkStart w:id="0" w:name="_GoBack"/>
      <w:bookmarkEnd w:id="0"/>
      <w:r w:rsidRPr="003825A4">
        <w:rPr>
          <w:rStyle w:val="Emphasis"/>
          <w:i w:val="0"/>
          <w:sz w:val="20"/>
          <w:szCs w:val="20"/>
        </w:rPr>
        <w:t>AHRQ Pub.</w:t>
      </w:r>
      <w:r w:rsidR="00E67F00" w:rsidRPr="003825A4">
        <w:rPr>
          <w:rStyle w:val="Emphasis"/>
          <w:i w:val="0"/>
          <w:sz w:val="20"/>
          <w:szCs w:val="20"/>
        </w:rPr>
        <w:t xml:space="preserve"> No. 16</w:t>
      </w:r>
      <w:r w:rsidRPr="003825A4">
        <w:rPr>
          <w:rStyle w:val="Emphasis"/>
          <w:i w:val="0"/>
          <w:sz w:val="20"/>
          <w:szCs w:val="20"/>
        </w:rPr>
        <w:t>(17)</w:t>
      </w:r>
      <w:r w:rsidR="00E67F00" w:rsidRPr="003825A4">
        <w:rPr>
          <w:rStyle w:val="Emphasis"/>
          <w:i w:val="0"/>
          <w:sz w:val="20"/>
          <w:szCs w:val="20"/>
        </w:rPr>
        <w:t>-0018-19-EF</w:t>
      </w:r>
    </w:p>
    <w:p w:rsidR="00E67F00" w:rsidRPr="003825A4" w:rsidRDefault="003825A4" w:rsidP="003825A4">
      <w:pPr>
        <w:spacing w:after="0"/>
        <w:jc w:val="right"/>
        <w:rPr>
          <w:sz w:val="20"/>
          <w:szCs w:val="20"/>
        </w:rPr>
      </w:pPr>
      <w:r w:rsidRPr="003825A4">
        <w:rPr>
          <w:rStyle w:val="Emphasis"/>
          <w:i w:val="0"/>
          <w:sz w:val="20"/>
          <w:szCs w:val="20"/>
        </w:rPr>
        <w:t>January 2017</w:t>
      </w:r>
    </w:p>
    <w:sectPr w:rsidR="00E67F00" w:rsidRPr="003825A4" w:rsidSect="00697690">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F0F" w:rsidRDefault="00233F0F" w:rsidP="004577E8">
      <w:r>
        <w:separator/>
      </w:r>
    </w:p>
  </w:endnote>
  <w:endnote w:type="continuationSeparator" w:id="0">
    <w:p w:rsidR="00233F0F" w:rsidRDefault="00233F0F" w:rsidP="00457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Std-Bold">
    <w:altName w:val="Calibri"/>
    <w:panose1 w:val="00000000000000000000"/>
    <w:charset w:val="4D"/>
    <w:family w:val="auto"/>
    <w:notTrueType/>
    <w:pitch w:val="default"/>
    <w:sig w:usb0="00000003" w:usb1="00000000" w:usb2="00000000" w:usb3="00000000" w:csb0="00000001" w:csb1="00000000"/>
  </w:font>
  <w:font w:name="GillSansStd">
    <w:altName w:val="Calibri"/>
    <w:panose1 w:val="00000000000000000000"/>
    <w:charset w:val="4D"/>
    <w:family w:val="auto"/>
    <w:notTrueType/>
    <w:pitch w:val="default"/>
    <w:sig w:usb0="00000003" w:usb1="00000000" w:usb2="00000000" w:usb3="00000000" w:csb0="00000001" w:csb1="00000000"/>
  </w:font>
  <w:font w:name="ZapfDingbatsITC">
    <w:altName w:val="Zapf Dingbats"/>
    <w:charset w:val="02"/>
    <w:family w:val="auto"/>
    <w:pitch w:val="variable"/>
    <w:sig w:usb0="00000000" w:usb1="10000000" w:usb2="00000000" w:usb3="00000000" w:csb0="80000000" w:csb1="00000000"/>
  </w:font>
  <w:font w:name="TimesTen-Roman">
    <w:altName w:val="MS Mincho"/>
    <w:panose1 w:val="00000000000000000000"/>
    <w:charset w:val="80"/>
    <w:family w:val="auto"/>
    <w:notTrueType/>
    <w:pitch w:val="default"/>
    <w:sig w:usb0="00000000" w:usb1="08070000" w:usb2="00000010" w:usb3="00000000" w:csb0="00020001" w:csb1="00000000"/>
  </w:font>
  <w:font w:name="AdvPA05F">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6" w:rsidRDefault="00B71AC6" w:rsidP="00C7054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71AC6" w:rsidRDefault="00B71AC6" w:rsidP="00236CB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6" w:rsidRDefault="00B71AC6" w:rsidP="004577E8">
    <w:pPr>
      <w:pStyle w:val="Footer"/>
    </w:pPr>
    <w:r>
      <w:rPr>
        <w:noProof/>
      </w:rPr>
      <w:drawing>
        <wp:anchor distT="0" distB="0" distL="114300" distR="114300" simplePos="0" relativeHeight="251657216" behindDoc="1" locked="0" layoutInCell="1" allowOverlap="1" wp14:anchorId="4B269084" wp14:editId="7B3D0C96">
          <wp:simplePos x="0" y="0"/>
          <wp:positionH relativeFrom="column">
            <wp:posOffset>-923925</wp:posOffset>
          </wp:positionH>
          <wp:positionV relativeFrom="paragraph">
            <wp:posOffset>-45720</wp:posOffset>
          </wp:positionV>
          <wp:extent cx="7772400" cy="7105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6" w:rsidRPr="007A3631" w:rsidRDefault="00B71AC6" w:rsidP="008D3747">
    <w:pPr>
      <w:framePr w:w="327" w:h="354" w:hRule="exact" w:wrap="around" w:vAnchor="text" w:hAnchor="page" w:x="11603" w:y="419"/>
      <w:rPr>
        <w:color w:val="FFFFFF" w:themeColor="background1"/>
      </w:rPr>
    </w:pPr>
    <w:r w:rsidRPr="007A3631">
      <w:rPr>
        <w:color w:val="FFFFFF" w:themeColor="background1"/>
      </w:rPr>
      <w:fldChar w:fldCharType="begin"/>
    </w:r>
    <w:r w:rsidRPr="007A3631">
      <w:rPr>
        <w:color w:val="FFFFFF" w:themeColor="background1"/>
      </w:rPr>
      <w:instrText xml:space="preserve"> PAGE  \* Arabic  \* MERGEFORMAT </w:instrText>
    </w:r>
    <w:r w:rsidRPr="007A3631">
      <w:rPr>
        <w:color w:val="FFFFFF" w:themeColor="background1"/>
      </w:rPr>
      <w:fldChar w:fldCharType="separate"/>
    </w:r>
    <w:r w:rsidR="00397284">
      <w:rPr>
        <w:noProof/>
        <w:color w:val="FFFFFF" w:themeColor="background1"/>
      </w:rPr>
      <w:t>10</w:t>
    </w:r>
    <w:r w:rsidRPr="007A3631">
      <w:rPr>
        <w:color w:val="FFFFFF" w:themeColor="background1"/>
      </w:rPr>
      <w:fldChar w:fldCharType="end"/>
    </w:r>
  </w:p>
  <w:p w:rsidR="00B71AC6" w:rsidRPr="00E17BE2" w:rsidRDefault="00397892" w:rsidP="003A4677">
    <w:pPr>
      <w:pStyle w:val="Footer"/>
      <w:ind w:right="-1440"/>
    </w:pPr>
    <w:r>
      <w:rPr>
        <w:rFonts w:ascii="Times New Roman" w:hAnsi="Times New Roman"/>
        <w:bCs/>
        <w:noProof/>
        <w:sz w:val="24"/>
        <w:szCs w:val="24"/>
      </w:rPr>
      <mc:AlternateContent>
        <mc:Choice Requires="wps">
          <w:drawing>
            <wp:anchor distT="0" distB="0" distL="114300" distR="114300" simplePos="0" relativeHeight="251663360" behindDoc="0" locked="0" layoutInCell="1" allowOverlap="1" wp14:anchorId="59AAB015" wp14:editId="0431EF06">
              <wp:simplePos x="0" y="0"/>
              <wp:positionH relativeFrom="column">
                <wp:posOffset>4752975</wp:posOffset>
              </wp:positionH>
              <wp:positionV relativeFrom="paragraph">
                <wp:posOffset>237802</wp:posOffset>
              </wp:positionV>
              <wp:extent cx="1672590" cy="347345"/>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2590" cy="347345"/>
                      </a:xfrm>
                      <a:prstGeom prst="rect">
                        <a:avLst/>
                      </a:prstGeom>
                      <a:noFill/>
                      <a:ln>
                        <a:noFill/>
                      </a:ln>
                      <a:effectLst/>
                      <a:extLst>
                        <a:ext uri="{C572A759-6A51-4108-AA02-DFA0A04FC94B}">
                          <ma14:wrappingTextBox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1AC6" w:rsidRPr="00397892" w:rsidRDefault="00B71AC6" w:rsidP="003A4677">
                          <w:pPr>
                            <w:rPr>
                              <w:color w:val="FFFFFF" w:themeColor="background1"/>
                              <w:sz w:val="20"/>
                              <w:szCs w:val="20"/>
                            </w:rPr>
                          </w:pPr>
                          <w:r w:rsidRPr="00397892">
                            <w:rPr>
                              <w:color w:val="FFFFFF" w:themeColor="background1"/>
                              <w:sz w:val="20"/>
                              <w:szCs w:val="20"/>
                            </w:rPr>
                            <w:t>SAT &amp; SBT Literature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4.25pt;margin-top:18.7pt;width:131.7pt;height:2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" filled="f" stroked="f">
              <v:textbox>
                <w:txbxContent>
                  <w:p w:rsidR="00B71AC6" w:rsidRPr="00397892" w:rsidRDefault="00B71AC6" w:rsidP="003A4677">
                    <w:pPr>
                      <w:rPr>
                        <w:color w:val="FFFFFF" w:themeColor="background1"/>
                        <w:sz w:val="20"/>
                        <w:szCs w:val="20"/>
                      </w:rPr>
                    </w:pPr>
                    <w:r w:rsidRPr="00397892">
                      <w:rPr>
                        <w:color w:val="FFFFFF" w:themeColor="background1"/>
                        <w:sz w:val="20"/>
                        <w:szCs w:val="20"/>
                      </w:rPr>
                      <w:t>SAT &amp; SBT Literature Review</w:t>
                    </w:r>
                  </w:p>
                </w:txbxContent>
              </v:textbox>
            </v:shape>
          </w:pict>
        </mc:Fallback>
      </mc:AlternateContent>
    </w:r>
    <w:r>
      <w:rPr>
        <w:noProof/>
      </w:rPr>
      <w:drawing>
        <wp:anchor distT="0" distB="0" distL="114300" distR="114300" simplePos="0" relativeHeight="251661312" behindDoc="1" locked="0" layoutInCell="1" allowOverlap="1" wp14:anchorId="0AAB610C" wp14:editId="6BB6AEBF">
          <wp:simplePos x="0" y="0"/>
          <wp:positionH relativeFrom="column">
            <wp:posOffset>-914400</wp:posOffset>
          </wp:positionH>
          <wp:positionV relativeFrom="paragraph">
            <wp:posOffset>8890</wp:posOffset>
          </wp:positionV>
          <wp:extent cx="7772400" cy="457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57200"/>
                  </a:xfrm>
                  <a:prstGeom prst="rect">
                    <a:avLst/>
                  </a:prstGeom>
                  <a:noFill/>
                  <a:ln>
                    <a:noFill/>
                  </a:ln>
                </pic:spPr>
              </pic:pic>
            </a:graphicData>
          </a:graphic>
        </wp:anchor>
      </w:drawing>
    </w:r>
    <w:r w:rsidR="006A4D92">
      <w:rPr>
        <w:rFonts w:ascii="Times New Roman" w:hAnsi="Times New Roman"/>
        <w:bCs/>
        <w:noProof/>
        <w:sz w:val="24"/>
        <w:szCs w:val="24"/>
      </w:rPr>
      <mc:AlternateContent>
        <mc:Choice Requires="wps">
          <w:drawing>
            <wp:anchor distT="0" distB="0" distL="114300" distR="114300" simplePos="0" relativeHeight="251660288" behindDoc="0" locked="0" layoutInCell="1" allowOverlap="1" wp14:anchorId="5A5AC7BA" wp14:editId="67AD0B73">
              <wp:simplePos x="0" y="0"/>
              <wp:positionH relativeFrom="column">
                <wp:posOffset>-191770</wp:posOffset>
              </wp:positionH>
              <wp:positionV relativeFrom="paragraph">
                <wp:posOffset>114025</wp:posOffset>
              </wp:positionV>
              <wp:extent cx="3922395" cy="356235"/>
              <wp:effectExtent l="0" t="0" r="190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356235"/>
                      </a:xfrm>
                      <a:prstGeom prst="rect">
                        <a:avLst/>
                      </a:prstGeom>
                      <a:solidFill>
                        <a:srgbClr val="FFFFFF"/>
                      </a:solidFill>
                      <a:ln w="9525">
                        <a:noFill/>
                        <a:miter lim="800000"/>
                        <a:headEnd/>
                        <a:tailEnd/>
                      </a:ln>
                    </wps:spPr>
                    <wps:txbx>
                      <w:txbxContent>
                        <w:p w:rsidR="00B71AC6" w:rsidRDefault="00B71AC6" w:rsidP="00E17BE2">
                          <w:r>
                            <w:t>AHRQ Safety Program for Mechanically Ventilated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5.1pt;margin-top:9pt;width:308.8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" stroked="f">
              <v:textbox>
                <w:txbxContent>
                  <w:p w:rsidR="00B71AC6" w:rsidRDefault="00B71AC6" w:rsidP="00E17BE2">
                    <w:r>
                      <w:t>AHRQ Safety Program for Mechanically Ventilated Patients</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F0F" w:rsidRDefault="00233F0F" w:rsidP="004577E8">
      <w:r>
        <w:separator/>
      </w:r>
    </w:p>
  </w:footnote>
  <w:footnote w:type="continuationSeparator" w:id="0">
    <w:p w:rsidR="00233F0F" w:rsidRDefault="00233F0F" w:rsidP="00457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6" w:rsidRDefault="00B71AC6" w:rsidP="004577E8">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rsidR="00B71AC6" w:rsidRDefault="00B71AC6" w:rsidP="004577E8">
    <w:pPr>
      <w:pStyle w:val="Header"/>
      <w:rPr>
        <w:rStyle w:val="PageNumber"/>
      </w:rPr>
    </w:pPr>
  </w:p>
  <w:p w:rsidR="00B71AC6" w:rsidRDefault="00397284" w:rsidP="004577E8">
    <w:pPr>
      <w:pStyle w:val="Header"/>
    </w:pPr>
    <w:sdt>
      <w:sdtPr>
        <w:id w:val="-1187527380"/>
        <w:placeholder>
          <w:docPart w:val="206AD539B482874AA0F94E5F962842FF"/>
        </w:placeholder>
        <w:temporary/>
        <w:showingPlcHdr/>
      </w:sdtPr>
      <w:sdtEndPr/>
      <w:sdtContent>
        <w:r w:rsidR="00B71AC6">
          <w:t>[Type text]</w:t>
        </w:r>
      </w:sdtContent>
    </w:sdt>
    <w:r w:rsidR="00B71AC6">
      <w:ptab w:relativeTo="margin" w:alignment="center" w:leader="none"/>
    </w:r>
    <w:sdt>
      <w:sdtPr>
        <w:id w:val="-1854251445"/>
        <w:placeholder>
          <w:docPart w:val="198E9F7423A39F4F900DECAE813632DE"/>
        </w:placeholder>
        <w:temporary/>
        <w:showingPlcHdr/>
      </w:sdtPr>
      <w:sdtEndPr/>
      <w:sdtContent>
        <w:r w:rsidR="00B71AC6">
          <w:t>[Type text]</w:t>
        </w:r>
      </w:sdtContent>
    </w:sdt>
    <w:r w:rsidR="00B71AC6">
      <w:ptab w:relativeTo="margin" w:alignment="right" w:leader="none"/>
    </w:r>
    <w:sdt>
      <w:sdtPr>
        <w:id w:val="-1176949166"/>
        <w:placeholder>
          <w:docPart w:val="2B276C7E4F5401448D6B37D9068E0128"/>
        </w:placeholder>
        <w:temporary/>
        <w:showingPlcHdr/>
      </w:sdtPr>
      <w:sdtEndPr/>
      <w:sdtContent>
        <w:r w:rsidR="00B71AC6">
          <w:t>[Type text]</w:t>
        </w:r>
      </w:sdtContent>
    </w:sdt>
  </w:p>
  <w:p w:rsidR="00B71AC6" w:rsidRDefault="00B71AC6" w:rsidP="004577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6" w:rsidRPr="003825A4" w:rsidRDefault="00B71AC6" w:rsidP="000F3C6F">
    <w:pPr>
      <w:pStyle w:val="Subtitle"/>
      <w:spacing w:line="240" w:lineRule="auto"/>
      <w:contextualSpacing/>
      <w:jc w:val="center"/>
      <w:rPr>
        <w:rFonts w:asciiTheme="minorHAnsi" w:hAnsiTheme="minorHAnsi"/>
        <w:b/>
        <w:i w:val="0"/>
        <w:color w:val="FFFFFF" w:themeColor="background1"/>
        <w:spacing w:val="0"/>
        <w:sz w:val="48"/>
        <w:szCs w:val="48"/>
      </w:rPr>
    </w:pPr>
    <w:r w:rsidRPr="003825A4">
      <w:rPr>
        <w:rFonts w:asciiTheme="minorHAnsi" w:hAnsiTheme="minorHAnsi"/>
        <w:b/>
        <w:i w:val="0"/>
        <w:noProof/>
        <w:color w:val="FFFFFF" w:themeColor="background1"/>
        <w:spacing w:val="0"/>
        <w:sz w:val="48"/>
        <w:szCs w:val="48"/>
      </w:rPr>
      <w:drawing>
        <wp:anchor distT="0" distB="0" distL="114300" distR="114300" simplePos="0" relativeHeight="251666944" behindDoc="1" locked="0" layoutInCell="1" allowOverlap="1" wp14:anchorId="6F475E69" wp14:editId="1FFDC2A8">
          <wp:simplePos x="0" y="0"/>
          <wp:positionH relativeFrom="column">
            <wp:posOffset>-923925</wp:posOffset>
          </wp:positionH>
          <wp:positionV relativeFrom="paragraph">
            <wp:posOffset>-723900</wp:posOffset>
          </wp:positionV>
          <wp:extent cx="7772400" cy="2056130"/>
          <wp:effectExtent l="0" t="0" r="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5A4">
      <w:rPr>
        <w:rFonts w:asciiTheme="minorHAnsi" w:hAnsiTheme="minorHAnsi"/>
        <w:b/>
        <w:i w:val="0"/>
        <w:color w:val="FFFFFF" w:themeColor="background1"/>
        <w:spacing w:val="0"/>
        <w:sz w:val="48"/>
        <w:szCs w:val="48"/>
      </w:rPr>
      <w:t>AHRQ Safety Program for</w:t>
    </w:r>
  </w:p>
  <w:p w:rsidR="00B71AC6" w:rsidRPr="003825A4" w:rsidRDefault="00B71AC6" w:rsidP="00D908F6">
    <w:pPr>
      <w:pStyle w:val="Subtitle"/>
      <w:tabs>
        <w:tab w:val="center" w:pos="4680"/>
        <w:tab w:val="right" w:pos="9360"/>
      </w:tabs>
      <w:spacing w:line="240" w:lineRule="auto"/>
      <w:contextualSpacing/>
      <w:jc w:val="center"/>
      <w:rPr>
        <w:rFonts w:asciiTheme="minorHAnsi" w:hAnsiTheme="minorHAnsi"/>
        <w:b/>
        <w:i w:val="0"/>
        <w:color w:val="FFFFFF" w:themeColor="background1"/>
        <w:spacing w:val="0"/>
        <w:sz w:val="48"/>
        <w:szCs w:val="48"/>
      </w:rPr>
    </w:pPr>
    <w:r w:rsidRPr="003825A4">
      <w:rPr>
        <w:rFonts w:asciiTheme="minorHAnsi" w:hAnsiTheme="minorHAnsi"/>
        <w:b/>
        <w:i w:val="0"/>
        <w:color w:val="FFFFFF" w:themeColor="background1"/>
        <w:spacing w:val="0"/>
        <w:sz w:val="48"/>
        <w:szCs w:val="48"/>
      </w:rPr>
      <w:t>Mechanically Ventilated Patients</w:t>
    </w:r>
  </w:p>
  <w:p w:rsidR="00B71AC6" w:rsidRDefault="00B71AC6" w:rsidP="004577E8">
    <w:pPr>
      <w:pStyle w:val="Title"/>
    </w:pPr>
  </w:p>
  <w:p w:rsidR="00B71AC6" w:rsidRDefault="00B71AC6" w:rsidP="004577E8">
    <w:pPr>
      <w:pStyle w:val="Title"/>
      <w:rPr>
        <w:sz w:val="32"/>
      </w:rPr>
    </w:pPr>
  </w:p>
  <w:p w:rsidR="00B71AC6" w:rsidRPr="00D908F6" w:rsidRDefault="00B71AC6" w:rsidP="003825A4">
    <w:pPr>
      <w:pStyle w:val="Title"/>
      <w:jc w:val="center"/>
      <w:rPr>
        <w:sz w:val="32"/>
      </w:rPr>
    </w:pPr>
    <w:r w:rsidRPr="00D908F6">
      <w:rPr>
        <w:sz w:val="32"/>
      </w:rPr>
      <w:t>Spontaneous Awakening Trials and Spontaneous Brea</w:t>
    </w:r>
    <w:r w:rsidR="00327AD2">
      <w:rPr>
        <w:sz w:val="32"/>
      </w:rPr>
      <w:t>thing Trials Literature 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6" w:rsidRPr="00C5785A" w:rsidRDefault="00B71AC6" w:rsidP="00C578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AC6" w:rsidRPr="00EA6D3D" w:rsidRDefault="00B71AC6" w:rsidP="004577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0AB7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1771"/>
    <w:multiLevelType w:val="hybridMultilevel"/>
    <w:tmpl w:val="E20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4431B9"/>
    <w:multiLevelType w:val="hybridMultilevel"/>
    <w:tmpl w:val="037E4958"/>
    <w:lvl w:ilvl="0" w:tplc="49FCA944">
      <w:start w:val="1"/>
      <w:numFmt w:val="decimal"/>
      <w:pStyle w:val="Numbered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3422A"/>
    <w:multiLevelType w:val="hybridMultilevel"/>
    <w:tmpl w:val="00C01C14"/>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36139E"/>
    <w:multiLevelType w:val="hybridMultilevel"/>
    <w:tmpl w:val="EC46DF2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8D7C3E"/>
    <w:multiLevelType w:val="hybridMultilevel"/>
    <w:tmpl w:val="4704E220"/>
    <w:lvl w:ilvl="0" w:tplc="7A1AC582">
      <w:start w:val="1"/>
      <w:numFmt w:val="bullet"/>
      <w:lvlText w:val="–"/>
      <w:lvlJc w:val="left"/>
      <w:pPr>
        <w:tabs>
          <w:tab w:val="num" w:pos="720"/>
        </w:tabs>
        <w:ind w:left="720" w:hanging="360"/>
      </w:pPr>
      <w:rPr>
        <w:rFonts w:ascii="Arial" w:hAnsi="Arial" w:hint="default"/>
      </w:rPr>
    </w:lvl>
    <w:lvl w:ilvl="1" w:tplc="C784C682">
      <w:start w:val="1"/>
      <w:numFmt w:val="bullet"/>
      <w:lvlText w:val="–"/>
      <w:lvlJc w:val="left"/>
      <w:pPr>
        <w:tabs>
          <w:tab w:val="num" w:pos="1440"/>
        </w:tabs>
        <w:ind w:left="1440" w:hanging="360"/>
      </w:pPr>
      <w:rPr>
        <w:rFonts w:ascii="Arial" w:hAnsi="Arial" w:hint="default"/>
      </w:rPr>
    </w:lvl>
    <w:lvl w:ilvl="2" w:tplc="1DB8774A" w:tentative="1">
      <w:start w:val="1"/>
      <w:numFmt w:val="bullet"/>
      <w:lvlText w:val="–"/>
      <w:lvlJc w:val="left"/>
      <w:pPr>
        <w:tabs>
          <w:tab w:val="num" w:pos="2160"/>
        </w:tabs>
        <w:ind w:left="2160" w:hanging="360"/>
      </w:pPr>
      <w:rPr>
        <w:rFonts w:ascii="Arial" w:hAnsi="Arial" w:hint="default"/>
      </w:rPr>
    </w:lvl>
    <w:lvl w:ilvl="3" w:tplc="D45A0E0C" w:tentative="1">
      <w:start w:val="1"/>
      <w:numFmt w:val="bullet"/>
      <w:lvlText w:val="–"/>
      <w:lvlJc w:val="left"/>
      <w:pPr>
        <w:tabs>
          <w:tab w:val="num" w:pos="2880"/>
        </w:tabs>
        <w:ind w:left="2880" w:hanging="360"/>
      </w:pPr>
      <w:rPr>
        <w:rFonts w:ascii="Arial" w:hAnsi="Arial" w:hint="default"/>
      </w:rPr>
    </w:lvl>
    <w:lvl w:ilvl="4" w:tplc="2592BA2C" w:tentative="1">
      <w:start w:val="1"/>
      <w:numFmt w:val="bullet"/>
      <w:lvlText w:val="–"/>
      <w:lvlJc w:val="left"/>
      <w:pPr>
        <w:tabs>
          <w:tab w:val="num" w:pos="3600"/>
        </w:tabs>
        <w:ind w:left="3600" w:hanging="360"/>
      </w:pPr>
      <w:rPr>
        <w:rFonts w:ascii="Arial" w:hAnsi="Arial" w:hint="default"/>
      </w:rPr>
    </w:lvl>
    <w:lvl w:ilvl="5" w:tplc="B7B4136C" w:tentative="1">
      <w:start w:val="1"/>
      <w:numFmt w:val="bullet"/>
      <w:lvlText w:val="–"/>
      <w:lvlJc w:val="left"/>
      <w:pPr>
        <w:tabs>
          <w:tab w:val="num" w:pos="4320"/>
        </w:tabs>
        <w:ind w:left="4320" w:hanging="360"/>
      </w:pPr>
      <w:rPr>
        <w:rFonts w:ascii="Arial" w:hAnsi="Arial" w:hint="default"/>
      </w:rPr>
    </w:lvl>
    <w:lvl w:ilvl="6" w:tplc="8CC4C36A" w:tentative="1">
      <w:start w:val="1"/>
      <w:numFmt w:val="bullet"/>
      <w:lvlText w:val="–"/>
      <w:lvlJc w:val="left"/>
      <w:pPr>
        <w:tabs>
          <w:tab w:val="num" w:pos="5040"/>
        </w:tabs>
        <w:ind w:left="5040" w:hanging="360"/>
      </w:pPr>
      <w:rPr>
        <w:rFonts w:ascii="Arial" w:hAnsi="Arial" w:hint="default"/>
      </w:rPr>
    </w:lvl>
    <w:lvl w:ilvl="7" w:tplc="3162D31C" w:tentative="1">
      <w:start w:val="1"/>
      <w:numFmt w:val="bullet"/>
      <w:lvlText w:val="–"/>
      <w:lvlJc w:val="left"/>
      <w:pPr>
        <w:tabs>
          <w:tab w:val="num" w:pos="5760"/>
        </w:tabs>
        <w:ind w:left="5760" w:hanging="360"/>
      </w:pPr>
      <w:rPr>
        <w:rFonts w:ascii="Arial" w:hAnsi="Arial" w:hint="default"/>
      </w:rPr>
    </w:lvl>
    <w:lvl w:ilvl="8" w:tplc="50CE6E96" w:tentative="1">
      <w:start w:val="1"/>
      <w:numFmt w:val="bullet"/>
      <w:lvlText w:val="–"/>
      <w:lvlJc w:val="left"/>
      <w:pPr>
        <w:tabs>
          <w:tab w:val="num" w:pos="6480"/>
        </w:tabs>
        <w:ind w:left="6480" w:hanging="360"/>
      </w:pPr>
      <w:rPr>
        <w:rFonts w:ascii="Arial" w:hAnsi="Arial" w:hint="default"/>
      </w:rPr>
    </w:lvl>
  </w:abstractNum>
  <w:abstractNum w:abstractNumId="6">
    <w:nsid w:val="11DE2806"/>
    <w:multiLevelType w:val="hybridMultilevel"/>
    <w:tmpl w:val="58646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A5C7119"/>
    <w:multiLevelType w:val="hybridMultilevel"/>
    <w:tmpl w:val="FA68E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22A6AFB"/>
    <w:multiLevelType w:val="hybridMultilevel"/>
    <w:tmpl w:val="B972CAB2"/>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9">
    <w:nsid w:val="27046EBE"/>
    <w:multiLevelType w:val="hybridMultilevel"/>
    <w:tmpl w:val="68B0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DA6D56"/>
    <w:multiLevelType w:val="hybridMultilevel"/>
    <w:tmpl w:val="BC825348"/>
    <w:lvl w:ilvl="0" w:tplc="3D80DD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CF2B2C"/>
    <w:multiLevelType w:val="hybridMultilevel"/>
    <w:tmpl w:val="DCC0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B38517F"/>
    <w:multiLevelType w:val="hybridMultilevel"/>
    <w:tmpl w:val="721C1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093311"/>
    <w:multiLevelType w:val="hybridMultilevel"/>
    <w:tmpl w:val="94A4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DF33EC"/>
    <w:multiLevelType w:val="hybridMultilevel"/>
    <w:tmpl w:val="29D40E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643546A"/>
    <w:multiLevelType w:val="hybridMultilevel"/>
    <w:tmpl w:val="3EA8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B16887"/>
    <w:multiLevelType w:val="hybridMultilevel"/>
    <w:tmpl w:val="0E36A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9356CC0"/>
    <w:multiLevelType w:val="hybridMultilevel"/>
    <w:tmpl w:val="DBB42F7E"/>
    <w:lvl w:ilvl="0" w:tplc="B3EACC52">
      <w:start w:val="1"/>
      <w:numFmt w:val="bullet"/>
      <w:lvlText w:val="•"/>
      <w:lvlJc w:val="left"/>
      <w:pPr>
        <w:ind w:left="1080" w:hanging="72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7E401B"/>
    <w:multiLevelType w:val="hybridMultilevel"/>
    <w:tmpl w:val="27507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1121759"/>
    <w:multiLevelType w:val="hybridMultilevel"/>
    <w:tmpl w:val="BE86C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7C2523"/>
    <w:multiLevelType w:val="hybridMultilevel"/>
    <w:tmpl w:val="E6DAE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B3B6C4B"/>
    <w:multiLevelType w:val="hybridMultilevel"/>
    <w:tmpl w:val="324C1C5E"/>
    <w:lvl w:ilvl="0" w:tplc="FA2AD5E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257232"/>
    <w:multiLevelType w:val="hybridMultilevel"/>
    <w:tmpl w:val="7CD0CAAA"/>
    <w:lvl w:ilvl="0" w:tplc="C32C0CC2">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18B7D14"/>
    <w:multiLevelType w:val="hybridMultilevel"/>
    <w:tmpl w:val="74E61604"/>
    <w:lvl w:ilvl="0" w:tplc="F320D378">
      <w:start w:val="1"/>
      <w:numFmt w:val="bullet"/>
      <w:lvlText w:val="•"/>
      <w:lvlJc w:val="left"/>
      <w:pPr>
        <w:tabs>
          <w:tab w:val="num" w:pos="720"/>
        </w:tabs>
        <w:ind w:left="720" w:hanging="360"/>
      </w:pPr>
      <w:rPr>
        <w:rFonts w:ascii="Arial" w:hAnsi="Arial" w:hint="default"/>
      </w:rPr>
    </w:lvl>
    <w:lvl w:ilvl="1" w:tplc="EBC68856" w:tentative="1">
      <w:start w:val="1"/>
      <w:numFmt w:val="bullet"/>
      <w:lvlText w:val="•"/>
      <w:lvlJc w:val="left"/>
      <w:pPr>
        <w:tabs>
          <w:tab w:val="num" w:pos="1440"/>
        </w:tabs>
        <w:ind w:left="1440" w:hanging="360"/>
      </w:pPr>
      <w:rPr>
        <w:rFonts w:ascii="Arial" w:hAnsi="Arial" w:hint="default"/>
      </w:rPr>
    </w:lvl>
    <w:lvl w:ilvl="2" w:tplc="F030FDF4" w:tentative="1">
      <w:start w:val="1"/>
      <w:numFmt w:val="bullet"/>
      <w:lvlText w:val="•"/>
      <w:lvlJc w:val="left"/>
      <w:pPr>
        <w:tabs>
          <w:tab w:val="num" w:pos="2160"/>
        </w:tabs>
        <w:ind w:left="2160" w:hanging="360"/>
      </w:pPr>
      <w:rPr>
        <w:rFonts w:ascii="Arial" w:hAnsi="Arial" w:hint="default"/>
      </w:rPr>
    </w:lvl>
    <w:lvl w:ilvl="3" w:tplc="1A2EA1A2" w:tentative="1">
      <w:start w:val="1"/>
      <w:numFmt w:val="bullet"/>
      <w:lvlText w:val="•"/>
      <w:lvlJc w:val="left"/>
      <w:pPr>
        <w:tabs>
          <w:tab w:val="num" w:pos="2880"/>
        </w:tabs>
        <w:ind w:left="2880" w:hanging="360"/>
      </w:pPr>
      <w:rPr>
        <w:rFonts w:ascii="Arial" w:hAnsi="Arial" w:hint="default"/>
      </w:rPr>
    </w:lvl>
    <w:lvl w:ilvl="4" w:tplc="54D29570" w:tentative="1">
      <w:start w:val="1"/>
      <w:numFmt w:val="bullet"/>
      <w:lvlText w:val="•"/>
      <w:lvlJc w:val="left"/>
      <w:pPr>
        <w:tabs>
          <w:tab w:val="num" w:pos="3600"/>
        </w:tabs>
        <w:ind w:left="3600" w:hanging="360"/>
      </w:pPr>
      <w:rPr>
        <w:rFonts w:ascii="Arial" w:hAnsi="Arial" w:hint="default"/>
      </w:rPr>
    </w:lvl>
    <w:lvl w:ilvl="5" w:tplc="8FA663C4" w:tentative="1">
      <w:start w:val="1"/>
      <w:numFmt w:val="bullet"/>
      <w:lvlText w:val="•"/>
      <w:lvlJc w:val="left"/>
      <w:pPr>
        <w:tabs>
          <w:tab w:val="num" w:pos="4320"/>
        </w:tabs>
        <w:ind w:left="4320" w:hanging="360"/>
      </w:pPr>
      <w:rPr>
        <w:rFonts w:ascii="Arial" w:hAnsi="Arial" w:hint="default"/>
      </w:rPr>
    </w:lvl>
    <w:lvl w:ilvl="6" w:tplc="BE7C4D98" w:tentative="1">
      <w:start w:val="1"/>
      <w:numFmt w:val="bullet"/>
      <w:lvlText w:val="•"/>
      <w:lvlJc w:val="left"/>
      <w:pPr>
        <w:tabs>
          <w:tab w:val="num" w:pos="5040"/>
        </w:tabs>
        <w:ind w:left="5040" w:hanging="360"/>
      </w:pPr>
      <w:rPr>
        <w:rFonts w:ascii="Arial" w:hAnsi="Arial" w:hint="default"/>
      </w:rPr>
    </w:lvl>
    <w:lvl w:ilvl="7" w:tplc="12BE5384" w:tentative="1">
      <w:start w:val="1"/>
      <w:numFmt w:val="bullet"/>
      <w:lvlText w:val="•"/>
      <w:lvlJc w:val="left"/>
      <w:pPr>
        <w:tabs>
          <w:tab w:val="num" w:pos="5760"/>
        </w:tabs>
        <w:ind w:left="5760" w:hanging="360"/>
      </w:pPr>
      <w:rPr>
        <w:rFonts w:ascii="Arial" w:hAnsi="Arial" w:hint="default"/>
      </w:rPr>
    </w:lvl>
    <w:lvl w:ilvl="8" w:tplc="82E4C82C" w:tentative="1">
      <w:start w:val="1"/>
      <w:numFmt w:val="bullet"/>
      <w:lvlText w:val="•"/>
      <w:lvlJc w:val="left"/>
      <w:pPr>
        <w:tabs>
          <w:tab w:val="num" w:pos="6480"/>
        </w:tabs>
        <w:ind w:left="6480" w:hanging="360"/>
      </w:pPr>
      <w:rPr>
        <w:rFonts w:ascii="Arial" w:hAnsi="Arial" w:hint="default"/>
      </w:rPr>
    </w:lvl>
  </w:abstractNum>
  <w:abstractNum w:abstractNumId="24">
    <w:nsid w:val="519867DC"/>
    <w:multiLevelType w:val="hybridMultilevel"/>
    <w:tmpl w:val="5AF6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221768A"/>
    <w:multiLevelType w:val="hybridMultilevel"/>
    <w:tmpl w:val="396C2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8225884"/>
    <w:multiLevelType w:val="hybridMultilevel"/>
    <w:tmpl w:val="06C2C2B8"/>
    <w:lvl w:ilvl="0" w:tplc="0AC8E11C">
      <w:start w:val="1"/>
      <w:numFmt w:val="bullet"/>
      <w:pStyle w:val="MainPointGuideline"/>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306B8F"/>
    <w:multiLevelType w:val="hybridMultilevel"/>
    <w:tmpl w:val="1A64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112C27"/>
    <w:multiLevelType w:val="hybridMultilevel"/>
    <w:tmpl w:val="053C2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7107CE"/>
    <w:multiLevelType w:val="hybridMultilevel"/>
    <w:tmpl w:val="4544C584"/>
    <w:lvl w:ilvl="0" w:tplc="0E6ED356">
      <w:start w:val="1"/>
      <w:numFmt w:val="decimal"/>
      <w:lvlText w:val="%1."/>
      <w:lvlJc w:val="left"/>
      <w:pPr>
        <w:tabs>
          <w:tab w:val="num" w:pos="720"/>
        </w:tabs>
        <w:ind w:left="720" w:hanging="360"/>
      </w:pPr>
    </w:lvl>
    <w:lvl w:ilvl="1" w:tplc="452E5CC8" w:tentative="1">
      <w:start w:val="1"/>
      <w:numFmt w:val="decimal"/>
      <w:lvlText w:val="%2."/>
      <w:lvlJc w:val="left"/>
      <w:pPr>
        <w:tabs>
          <w:tab w:val="num" w:pos="1440"/>
        </w:tabs>
        <w:ind w:left="1440" w:hanging="360"/>
      </w:pPr>
    </w:lvl>
    <w:lvl w:ilvl="2" w:tplc="F3F6C920" w:tentative="1">
      <w:start w:val="1"/>
      <w:numFmt w:val="decimal"/>
      <w:lvlText w:val="%3."/>
      <w:lvlJc w:val="left"/>
      <w:pPr>
        <w:tabs>
          <w:tab w:val="num" w:pos="2160"/>
        </w:tabs>
        <w:ind w:left="2160" w:hanging="360"/>
      </w:pPr>
    </w:lvl>
    <w:lvl w:ilvl="3" w:tplc="637AA79C" w:tentative="1">
      <w:start w:val="1"/>
      <w:numFmt w:val="decimal"/>
      <w:lvlText w:val="%4."/>
      <w:lvlJc w:val="left"/>
      <w:pPr>
        <w:tabs>
          <w:tab w:val="num" w:pos="2880"/>
        </w:tabs>
        <w:ind w:left="2880" w:hanging="360"/>
      </w:pPr>
    </w:lvl>
    <w:lvl w:ilvl="4" w:tplc="B2585600" w:tentative="1">
      <w:start w:val="1"/>
      <w:numFmt w:val="decimal"/>
      <w:lvlText w:val="%5."/>
      <w:lvlJc w:val="left"/>
      <w:pPr>
        <w:tabs>
          <w:tab w:val="num" w:pos="3600"/>
        </w:tabs>
        <w:ind w:left="3600" w:hanging="360"/>
      </w:pPr>
    </w:lvl>
    <w:lvl w:ilvl="5" w:tplc="BAEC735C" w:tentative="1">
      <w:start w:val="1"/>
      <w:numFmt w:val="decimal"/>
      <w:lvlText w:val="%6."/>
      <w:lvlJc w:val="left"/>
      <w:pPr>
        <w:tabs>
          <w:tab w:val="num" w:pos="4320"/>
        </w:tabs>
        <w:ind w:left="4320" w:hanging="360"/>
      </w:pPr>
    </w:lvl>
    <w:lvl w:ilvl="6" w:tplc="2438DAD4" w:tentative="1">
      <w:start w:val="1"/>
      <w:numFmt w:val="decimal"/>
      <w:lvlText w:val="%7."/>
      <w:lvlJc w:val="left"/>
      <w:pPr>
        <w:tabs>
          <w:tab w:val="num" w:pos="5040"/>
        </w:tabs>
        <w:ind w:left="5040" w:hanging="360"/>
      </w:pPr>
    </w:lvl>
    <w:lvl w:ilvl="7" w:tplc="7A06D804" w:tentative="1">
      <w:start w:val="1"/>
      <w:numFmt w:val="decimal"/>
      <w:lvlText w:val="%8."/>
      <w:lvlJc w:val="left"/>
      <w:pPr>
        <w:tabs>
          <w:tab w:val="num" w:pos="5760"/>
        </w:tabs>
        <w:ind w:left="5760" w:hanging="360"/>
      </w:pPr>
    </w:lvl>
    <w:lvl w:ilvl="8" w:tplc="BD70E840" w:tentative="1">
      <w:start w:val="1"/>
      <w:numFmt w:val="decimal"/>
      <w:lvlText w:val="%9."/>
      <w:lvlJc w:val="left"/>
      <w:pPr>
        <w:tabs>
          <w:tab w:val="num" w:pos="6480"/>
        </w:tabs>
        <w:ind w:left="6480" w:hanging="360"/>
      </w:pPr>
    </w:lvl>
  </w:abstractNum>
  <w:abstractNum w:abstractNumId="30">
    <w:nsid w:val="67CE1911"/>
    <w:multiLevelType w:val="hybridMultilevel"/>
    <w:tmpl w:val="D2CA4A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250E3C"/>
    <w:multiLevelType w:val="hybridMultilevel"/>
    <w:tmpl w:val="746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8E27C6D"/>
    <w:multiLevelType w:val="hybridMultilevel"/>
    <w:tmpl w:val="8DF4574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69524BC7"/>
    <w:multiLevelType w:val="hybridMultilevel"/>
    <w:tmpl w:val="8C2CDC3A"/>
    <w:lvl w:ilvl="0" w:tplc="05E0B13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290C35"/>
    <w:multiLevelType w:val="hybridMultilevel"/>
    <w:tmpl w:val="F13E7A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8EB2A7A"/>
    <w:multiLevelType w:val="hybridMultilevel"/>
    <w:tmpl w:val="6E563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3E7E07"/>
    <w:multiLevelType w:val="hybridMultilevel"/>
    <w:tmpl w:val="E7FADF8C"/>
    <w:lvl w:ilvl="0" w:tplc="382433E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1"/>
  </w:num>
  <w:num w:numId="3">
    <w:abstractNumId w:val="7"/>
  </w:num>
  <w:num w:numId="4">
    <w:abstractNumId w:val="16"/>
  </w:num>
  <w:num w:numId="5">
    <w:abstractNumId w:val="14"/>
  </w:num>
  <w:num w:numId="6">
    <w:abstractNumId w:val="34"/>
  </w:num>
  <w:num w:numId="7">
    <w:abstractNumId w:val="27"/>
  </w:num>
  <w:num w:numId="8">
    <w:abstractNumId w:val="11"/>
  </w:num>
  <w:num w:numId="9">
    <w:abstractNumId w:val="33"/>
  </w:num>
  <w:num w:numId="10">
    <w:abstractNumId w:val="32"/>
  </w:num>
  <w:num w:numId="11">
    <w:abstractNumId w:val="3"/>
  </w:num>
  <w:num w:numId="12">
    <w:abstractNumId w:val="13"/>
  </w:num>
  <w:num w:numId="13">
    <w:abstractNumId w:val="24"/>
  </w:num>
  <w:num w:numId="14">
    <w:abstractNumId w:val="6"/>
  </w:num>
  <w:num w:numId="15">
    <w:abstractNumId w:val="10"/>
  </w:num>
  <w:num w:numId="16">
    <w:abstractNumId w:val="20"/>
  </w:num>
  <w:num w:numId="17">
    <w:abstractNumId w:val="22"/>
  </w:num>
  <w:num w:numId="18">
    <w:abstractNumId w:val="18"/>
  </w:num>
  <w:num w:numId="19">
    <w:abstractNumId w:val="5"/>
  </w:num>
  <w:num w:numId="20">
    <w:abstractNumId w:val="29"/>
  </w:num>
  <w:num w:numId="21">
    <w:abstractNumId w:val="0"/>
  </w:num>
  <w:num w:numId="22">
    <w:abstractNumId w:val="23"/>
  </w:num>
  <w:num w:numId="23">
    <w:abstractNumId w:val="2"/>
  </w:num>
  <w:num w:numId="24">
    <w:abstractNumId w:val="12"/>
  </w:num>
  <w:num w:numId="25">
    <w:abstractNumId w:val="17"/>
  </w:num>
  <w:num w:numId="26">
    <w:abstractNumId w:val="4"/>
  </w:num>
  <w:num w:numId="27">
    <w:abstractNumId w:val="19"/>
  </w:num>
  <w:num w:numId="28">
    <w:abstractNumId w:val="35"/>
  </w:num>
  <w:num w:numId="29">
    <w:abstractNumId w:val="15"/>
  </w:num>
  <w:num w:numId="30">
    <w:abstractNumId w:val="28"/>
  </w:num>
  <w:num w:numId="31">
    <w:abstractNumId w:val="9"/>
  </w:num>
  <w:num w:numId="32">
    <w:abstractNumId w:val="8"/>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21"/>
  </w:num>
  <w:num w:numId="36">
    <w:abstractNumId w:val="36"/>
  </w:num>
  <w:num w:numId="37">
    <w:abstractNumId w:val="26"/>
  </w:num>
  <w:num w:numId="38">
    <w:abstractNumId w:val="26"/>
  </w:num>
  <w:num w:numId="39">
    <w:abstractNumId w:val="30"/>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a Adler">
    <w15:presenceInfo w15:providerId="AD" w15:userId="S-1-5-21-1214440339-484763869-725345543-46498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579"/>
    <w:rsid w:val="00016129"/>
    <w:rsid w:val="0003278F"/>
    <w:rsid w:val="00033B3C"/>
    <w:rsid w:val="00036F31"/>
    <w:rsid w:val="000436DB"/>
    <w:rsid w:val="00054B58"/>
    <w:rsid w:val="00080BB5"/>
    <w:rsid w:val="00087FEE"/>
    <w:rsid w:val="000D6883"/>
    <w:rsid w:val="000E48E1"/>
    <w:rsid w:val="000F3C6F"/>
    <w:rsid w:val="00103FFA"/>
    <w:rsid w:val="001113EF"/>
    <w:rsid w:val="00136E75"/>
    <w:rsid w:val="001412AF"/>
    <w:rsid w:val="00147A61"/>
    <w:rsid w:val="00154F5D"/>
    <w:rsid w:val="00156FD7"/>
    <w:rsid w:val="00183A8C"/>
    <w:rsid w:val="001865C9"/>
    <w:rsid w:val="001B2008"/>
    <w:rsid w:val="001B2202"/>
    <w:rsid w:val="001E0B68"/>
    <w:rsid w:val="001E1B33"/>
    <w:rsid w:val="001F08B9"/>
    <w:rsid w:val="001F41C5"/>
    <w:rsid w:val="00207510"/>
    <w:rsid w:val="0021313C"/>
    <w:rsid w:val="002171F5"/>
    <w:rsid w:val="00221E2F"/>
    <w:rsid w:val="00231776"/>
    <w:rsid w:val="00231FDD"/>
    <w:rsid w:val="00233F0F"/>
    <w:rsid w:val="00236CB1"/>
    <w:rsid w:val="00250185"/>
    <w:rsid w:val="00272E5C"/>
    <w:rsid w:val="00283168"/>
    <w:rsid w:val="002A5392"/>
    <w:rsid w:val="002A6B25"/>
    <w:rsid w:val="002E569C"/>
    <w:rsid w:val="00315286"/>
    <w:rsid w:val="00323355"/>
    <w:rsid w:val="00327AD2"/>
    <w:rsid w:val="00332E74"/>
    <w:rsid w:val="00366EEE"/>
    <w:rsid w:val="003825A4"/>
    <w:rsid w:val="00397284"/>
    <w:rsid w:val="00397892"/>
    <w:rsid w:val="003A394F"/>
    <w:rsid w:val="003A4677"/>
    <w:rsid w:val="003B53F1"/>
    <w:rsid w:val="003D69F2"/>
    <w:rsid w:val="003E1E2D"/>
    <w:rsid w:val="004035F2"/>
    <w:rsid w:val="0043772A"/>
    <w:rsid w:val="0044265A"/>
    <w:rsid w:val="004546DD"/>
    <w:rsid w:val="004577E8"/>
    <w:rsid w:val="004A4EAC"/>
    <w:rsid w:val="004C187B"/>
    <w:rsid w:val="00500D25"/>
    <w:rsid w:val="00515B1A"/>
    <w:rsid w:val="005172DA"/>
    <w:rsid w:val="00517336"/>
    <w:rsid w:val="00521E7E"/>
    <w:rsid w:val="005254DA"/>
    <w:rsid w:val="00527FEB"/>
    <w:rsid w:val="005450A5"/>
    <w:rsid w:val="0055402B"/>
    <w:rsid w:val="005606DF"/>
    <w:rsid w:val="00560E2F"/>
    <w:rsid w:val="00573E00"/>
    <w:rsid w:val="00580C40"/>
    <w:rsid w:val="005A4C82"/>
    <w:rsid w:val="005E7846"/>
    <w:rsid w:val="00631A39"/>
    <w:rsid w:val="0065682C"/>
    <w:rsid w:val="00674423"/>
    <w:rsid w:val="00677AA8"/>
    <w:rsid w:val="006845CF"/>
    <w:rsid w:val="00697690"/>
    <w:rsid w:val="006A4D92"/>
    <w:rsid w:val="006D057B"/>
    <w:rsid w:val="00701CB6"/>
    <w:rsid w:val="0070477B"/>
    <w:rsid w:val="00712051"/>
    <w:rsid w:val="0076585C"/>
    <w:rsid w:val="0077092C"/>
    <w:rsid w:val="00781562"/>
    <w:rsid w:val="0078449C"/>
    <w:rsid w:val="007A0A1D"/>
    <w:rsid w:val="007A3631"/>
    <w:rsid w:val="007B2931"/>
    <w:rsid w:val="007C505B"/>
    <w:rsid w:val="007D13A4"/>
    <w:rsid w:val="007F28C0"/>
    <w:rsid w:val="007F6F80"/>
    <w:rsid w:val="008124C1"/>
    <w:rsid w:val="00813D7D"/>
    <w:rsid w:val="00815631"/>
    <w:rsid w:val="00816A26"/>
    <w:rsid w:val="00827BD2"/>
    <w:rsid w:val="0083687A"/>
    <w:rsid w:val="00865DC6"/>
    <w:rsid w:val="0086706D"/>
    <w:rsid w:val="00871BFC"/>
    <w:rsid w:val="00871FCD"/>
    <w:rsid w:val="00882746"/>
    <w:rsid w:val="008B2CC4"/>
    <w:rsid w:val="008C1058"/>
    <w:rsid w:val="008C2BE8"/>
    <w:rsid w:val="008D3747"/>
    <w:rsid w:val="008E378B"/>
    <w:rsid w:val="008E488A"/>
    <w:rsid w:val="00910324"/>
    <w:rsid w:val="00932235"/>
    <w:rsid w:val="009364DE"/>
    <w:rsid w:val="00944C71"/>
    <w:rsid w:val="00961451"/>
    <w:rsid w:val="00992B32"/>
    <w:rsid w:val="00995F5E"/>
    <w:rsid w:val="009A242D"/>
    <w:rsid w:val="009D0579"/>
    <w:rsid w:val="00A008EA"/>
    <w:rsid w:val="00A06668"/>
    <w:rsid w:val="00A17F90"/>
    <w:rsid w:val="00A27654"/>
    <w:rsid w:val="00A45D0B"/>
    <w:rsid w:val="00A5732F"/>
    <w:rsid w:val="00A718BC"/>
    <w:rsid w:val="00A769AC"/>
    <w:rsid w:val="00AA786D"/>
    <w:rsid w:val="00B03315"/>
    <w:rsid w:val="00B1080D"/>
    <w:rsid w:val="00B17BEA"/>
    <w:rsid w:val="00B26141"/>
    <w:rsid w:val="00B27FA5"/>
    <w:rsid w:val="00B31850"/>
    <w:rsid w:val="00B50B69"/>
    <w:rsid w:val="00B5242A"/>
    <w:rsid w:val="00B71AC6"/>
    <w:rsid w:val="00B81506"/>
    <w:rsid w:val="00B9233E"/>
    <w:rsid w:val="00B9714B"/>
    <w:rsid w:val="00BB0988"/>
    <w:rsid w:val="00BB6F8A"/>
    <w:rsid w:val="00BB7A4F"/>
    <w:rsid w:val="00BD38C0"/>
    <w:rsid w:val="00BE6E20"/>
    <w:rsid w:val="00C02C50"/>
    <w:rsid w:val="00C04B0F"/>
    <w:rsid w:val="00C076A2"/>
    <w:rsid w:val="00C111DD"/>
    <w:rsid w:val="00C15209"/>
    <w:rsid w:val="00C361A0"/>
    <w:rsid w:val="00C37E57"/>
    <w:rsid w:val="00C40F39"/>
    <w:rsid w:val="00C41B91"/>
    <w:rsid w:val="00C54745"/>
    <w:rsid w:val="00C54F2F"/>
    <w:rsid w:val="00C55356"/>
    <w:rsid w:val="00C5785A"/>
    <w:rsid w:val="00C7054E"/>
    <w:rsid w:val="00CA11FE"/>
    <w:rsid w:val="00CA76F8"/>
    <w:rsid w:val="00CB6BB4"/>
    <w:rsid w:val="00CE2FC2"/>
    <w:rsid w:val="00D10ECE"/>
    <w:rsid w:val="00D40678"/>
    <w:rsid w:val="00D51FFA"/>
    <w:rsid w:val="00D606F8"/>
    <w:rsid w:val="00D63201"/>
    <w:rsid w:val="00D73319"/>
    <w:rsid w:val="00D7515B"/>
    <w:rsid w:val="00D83CAA"/>
    <w:rsid w:val="00D84B17"/>
    <w:rsid w:val="00D908F6"/>
    <w:rsid w:val="00DA0A84"/>
    <w:rsid w:val="00DC680D"/>
    <w:rsid w:val="00DC6E35"/>
    <w:rsid w:val="00DD08CE"/>
    <w:rsid w:val="00DD1BEF"/>
    <w:rsid w:val="00DE3980"/>
    <w:rsid w:val="00DF3926"/>
    <w:rsid w:val="00E00C59"/>
    <w:rsid w:val="00E1195E"/>
    <w:rsid w:val="00E17BE2"/>
    <w:rsid w:val="00E54BB2"/>
    <w:rsid w:val="00E608F9"/>
    <w:rsid w:val="00E61184"/>
    <w:rsid w:val="00E67F00"/>
    <w:rsid w:val="00E71678"/>
    <w:rsid w:val="00E71826"/>
    <w:rsid w:val="00E73DB8"/>
    <w:rsid w:val="00E9058D"/>
    <w:rsid w:val="00EA6D3D"/>
    <w:rsid w:val="00EB1DA9"/>
    <w:rsid w:val="00EB3549"/>
    <w:rsid w:val="00ED6328"/>
    <w:rsid w:val="00EE5005"/>
    <w:rsid w:val="00F223AE"/>
    <w:rsid w:val="00F23F3F"/>
    <w:rsid w:val="00F26B8D"/>
    <w:rsid w:val="00F3052E"/>
    <w:rsid w:val="00F31C2D"/>
    <w:rsid w:val="00F57D88"/>
    <w:rsid w:val="00F63D15"/>
    <w:rsid w:val="00FA545A"/>
    <w:rsid w:val="00FC49D6"/>
    <w:rsid w:val="00FD10B1"/>
    <w:rsid w:val="00FD522F"/>
    <w:rsid w:val="00FF6A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CC4"/>
  </w:style>
  <w:style w:type="paragraph" w:styleId="Heading1">
    <w:name w:val="heading 1"/>
    <w:basedOn w:val="Normal"/>
    <w:next w:val="Normal"/>
    <w:link w:val="Heading1Char"/>
    <w:uiPriority w:val="9"/>
    <w:qFormat/>
    <w:rsid w:val="008B2C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2C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2C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2C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2CC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C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2C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2CC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B2C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after="0"/>
    </w:p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2CC4"/>
    <w:pPr>
      <w:ind w:left="720"/>
      <w:contextualSpacing/>
    </w:pPr>
  </w:style>
  <w:style w:type="paragraph" w:customStyle="1" w:styleId="TableTitles">
    <w:name w:val="Table Titles"/>
    <w:basedOn w:val="Normal"/>
    <w:link w:val="TableTitlesChar"/>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rsid w:val="00C41B91"/>
    <w:pPr>
      <w:spacing w:before="80" w:after="0"/>
    </w:pPr>
    <w:rPr>
      <w:b/>
      <w:bCs/>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8B2C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B2CC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8B2C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2CC4"/>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Program Title"/>
    <w:basedOn w:val="Normal"/>
    <w:next w:val="Normal"/>
    <w:link w:val="SubtitleChar"/>
    <w:uiPriority w:val="11"/>
    <w:qFormat/>
    <w:rsid w:val="008B2C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Program Title Char"/>
    <w:basedOn w:val="DefaultParagraphFont"/>
    <w:link w:val="Subtitle"/>
    <w:uiPriority w:val="11"/>
    <w:rsid w:val="008B2CC4"/>
    <w:rPr>
      <w:rFonts w:asciiTheme="majorHAnsi" w:eastAsiaTheme="majorEastAsia" w:hAnsiTheme="majorHAnsi" w:cstheme="majorBidi"/>
      <w:i/>
      <w:iCs/>
      <w:color w:val="4F81BD" w:themeColor="accent1"/>
      <w:spacing w:val="15"/>
      <w:sz w:val="24"/>
      <w:szCs w:val="24"/>
    </w:rPr>
  </w:style>
  <w:style w:type="character" w:styleId="Emphasis">
    <w:name w:val="Emphasis"/>
    <w:aliases w:val="AHRQ Publication"/>
    <w:basedOn w:val="DefaultParagraphFont"/>
    <w:uiPriority w:val="20"/>
    <w:qFormat/>
    <w:rsid w:val="008B2CC4"/>
    <w:rPr>
      <w:i/>
      <w:iCs/>
    </w:rPr>
  </w:style>
  <w:style w:type="paragraph" w:customStyle="1" w:styleId="Instructions">
    <w:name w:val="Instructions"/>
    <w:basedOn w:val="Normal"/>
    <w:link w:val="InstructionsChar"/>
    <w:rsid w:val="00283168"/>
    <w:pPr>
      <w:framePr w:hSpace="180" w:wrap="around" w:vAnchor="text" w:hAnchor="text" w:xAlign="right" w:y="1"/>
      <w:spacing w:before="120" w:after="0"/>
      <w:suppressOverlap/>
    </w:pPr>
    <w:rPr>
      <w:rFonts w:cs="Tahoma"/>
      <w:b/>
      <w:bCs/>
      <w:lang w:bidi="en-US"/>
    </w:rPr>
  </w:style>
  <w:style w:type="paragraph" w:customStyle="1" w:styleId="FooterWhite">
    <w:name w:val="Footer White"/>
    <w:basedOn w:val="Normal"/>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rsid w:val="004577E8"/>
    <w:pPr>
      <w:numPr>
        <w:numId w:val="23"/>
      </w:numPr>
    </w:pPr>
  </w:style>
  <w:style w:type="character" w:customStyle="1" w:styleId="Heading1Char">
    <w:name w:val="Heading 1 Char"/>
    <w:basedOn w:val="DefaultParagraphFont"/>
    <w:link w:val="Heading1"/>
    <w:uiPriority w:val="9"/>
    <w:rsid w:val="008B2CC4"/>
    <w:rPr>
      <w:rFonts w:asciiTheme="majorHAnsi" w:eastAsiaTheme="majorEastAsia" w:hAnsiTheme="majorHAnsi" w:cstheme="majorBidi"/>
      <w:b/>
      <w:bCs/>
      <w:color w:val="365F91" w:themeColor="accent1" w:themeShade="BF"/>
      <w:sz w:val="28"/>
      <w:szCs w:val="28"/>
    </w:rPr>
  </w:style>
  <w:style w:type="paragraph" w:customStyle="1" w:styleId="SUBwithRuleBelow">
    <w:name w:val="SUB with Rule Below"/>
    <w:basedOn w:val="Normal"/>
    <w:uiPriority w:val="99"/>
    <w:rsid w:val="0086706D"/>
    <w:pPr>
      <w:widowControl w:val="0"/>
      <w:pBdr>
        <w:bottom w:val="single" w:sz="8" w:space="4" w:color="000000"/>
      </w:pBdr>
      <w:tabs>
        <w:tab w:val="left" w:pos="180"/>
        <w:tab w:val="left" w:pos="360"/>
      </w:tabs>
      <w:autoSpaceDE w:val="0"/>
      <w:autoSpaceDN w:val="0"/>
      <w:adjustRightInd w:val="0"/>
      <w:spacing w:after="80" w:line="320" w:lineRule="atLeast"/>
      <w:textAlignment w:val="center"/>
    </w:pPr>
    <w:rPr>
      <w:rFonts w:ascii="GillSansStd-Bold" w:hAnsi="GillSansStd-Bold" w:cs="GillSansStd-Bold"/>
      <w:b/>
      <w:caps/>
      <w:color w:val="243F8D"/>
      <w:szCs w:val="24"/>
    </w:rPr>
  </w:style>
  <w:style w:type="paragraph" w:customStyle="1" w:styleId="BasicParagraph">
    <w:name w:val="[Basic Paragraph]"/>
    <w:basedOn w:val="Normal"/>
    <w:uiPriority w:val="99"/>
    <w:rsid w:val="0086706D"/>
    <w:pPr>
      <w:widowControl w:val="0"/>
      <w:tabs>
        <w:tab w:val="left" w:pos="200"/>
        <w:tab w:val="left" w:pos="440"/>
        <w:tab w:val="left" w:pos="640"/>
        <w:tab w:val="left" w:pos="880"/>
      </w:tabs>
      <w:autoSpaceDE w:val="0"/>
      <w:autoSpaceDN w:val="0"/>
      <w:adjustRightInd w:val="0"/>
      <w:spacing w:after="160" w:line="320" w:lineRule="atLeast"/>
      <w:textAlignment w:val="center"/>
    </w:pPr>
    <w:rPr>
      <w:rFonts w:ascii="GillSansStd" w:hAnsi="GillSansStd" w:cs="GillSansStd"/>
      <w:bCs/>
      <w:color w:val="000000"/>
      <w:szCs w:val="24"/>
    </w:rPr>
  </w:style>
  <w:style w:type="character" w:customStyle="1" w:styleId="SquareBlueSolidDingbat">
    <w:name w:val="Square/Blue Solid Dingbat"/>
    <w:uiPriority w:val="99"/>
    <w:rsid w:val="0086706D"/>
    <w:rPr>
      <w:rFonts w:ascii="ZapfDingbatsITC" w:hAnsi="ZapfDingbatsITC" w:cs="ZapfDingbatsITC"/>
      <w:color w:val="243F8D"/>
      <w:position w:val="2"/>
      <w:sz w:val="18"/>
      <w:szCs w:val="18"/>
    </w:rPr>
  </w:style>
  <w:style w:type="character" w:customStyle="1" w:styleId="SquareBlueHollowDingbat">
    <w:name w:val="Square/Blue Hollow Dingbat"/>
    <w:basedOn w:val="SquareBlueSolidDingbat"/>
    <w:uiPriority w:val="99"/>
    <w:rsid w:val="0086706D"/>
    <w:rPr>
      <w:rFonts w:ascii="Wingdings" w:hAnsi="Wingdings" w:cs="Wingdings"/>
      <w:color w:val="243F8D"/>
      <w:position w:val="2"/>
      <w:sz w:val="18"/>
      <w:szCs w:val="18"/>
    </w:rPr>
  </w:style>
  <w:style w:type="table" w:customStyle="1" w:styleId="ListTable3-Accent51">
    <w:name w:val="List Table 3 - Accent 51"/>
    <w:basedOn w:val="TableNormal"/>
    <w:uiPriority w:val="48"/>
    <w:rsid w:val="00515B1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NoSpacing">
    <w:name w:val="No Spacing"/>
    <w:link w:val="NoSpacingChar"/>
    <w:uiPriority w:val="1"/>
    <w:qFormat/>
    <w:rsid w:val="008B2CC4"/>
    <w:pPr>
      <w:spacing w:after="0" w:line="240" w:lineRule="auto"/>
    </w:pPr>
  </w:style>
  <w:style w:type="paragraph" w:customStyle="1" w:styleId="Guideline">
    <w:name w:val="Guideline"/>
    <w:basedOn w:val="NoSpacing"/>
    <w:qFormat/>
    <w:rsid w:val="008B2CC4"/>
    <w:pPr>
      <w:spacing w:before="120" w:after="120"/>
    </w:pPr>
    <w:rPr>
      <w:rFonts w:asciiTheme="majorHAnsi" w:hAnsiTheme="majorHAnsi"/>
      <w:i/>
      <w:sz w:val="24"/>
      <w:szCs w:val="24"/>
    </w:rPr>
  </w:style>
  <w:style w:type="paragraph" w:customStyle="1" w:styleId="MainPointGuideline">
    <w:name w:val="MainPoint Guideline"/>
    <w:basedOn w:val="ListParagraph"/>
    <w:qFormat/>
    <w:rsid w:val="008B2CC4"/>
    <w:pPr>
      <w:widowControl w:val="0"/>
      <w:numPr>
        <w:numId w:val="38"/>
      </w:numPr>
      <w:overflowPunct w:val="0"/>
      <w:adjustRightInd w:val="0"/>
      <w:spacing w:before="20" w:after="120" w:line="240" w:lineRule="auto"/>
    </w:pPr>
    <w:rPr>
      <w:rFonts w:cs="Arial"/>
      <w:b/>
      <w:i/>
    </w:rPr>
  </w:style>
  <w:style w:type="paragraph" w:customStyle="1" w:styleId="HighlightedBibliography">
    <w:name w:val="Highlighted Bibliography"/>
    <w:basedOn w:val="NormalWeb"/>
    <w:qFormat/>
    <w:rsid w:val="008B2CC4"/>
    <w:pPr>
      <w:spacing w:before="120" w:after="120" w:line="240" w:lineRule="auto"/>
      <w:ind w:left="1440"/>
    </w:pPr>
    <w:rPr>
      <w:rFonts w:asciiTheme="majorHAnsi" w:eastAsia="Times New Roman" w:hAnsiTheme="majorHAnsi" w:cs="Arial"/>
      <w:b/>
      <w:sz w:val="20"/>
      <w:szCs w:val="20"/>
      <w:shd w:val="clear" w:color="auto" w:fill="FFFF99"/>
    </w:rPr>
  </w:style>
  <w:style w:type="paragraph" w:styleId="NormalWeb">
    <w:name w:val="Normal (Web)"/>
    <w:basedOn w:val="Normal"/>
    <w:uiPriority w:val="99"/>
    <w:semiHidden/>
    <w:unhideWhenUsed/>
    <w:rsid w:val="008B2CC4"/>
    <w:rPr>
      <w:rFonts w:ascii="Times New Roman" w:hAnsi="Times New Roman" w:cs="Times New Roman"/>
      <w:szCs w:val="24"/>
    </w:rPr>
  </w:style>
  <w:style w:type="character" w:customStyle="1" w:styleId="Heading4Char">
    <w:name w:val="Heading 4 Char"/>
    <w:basedOn w:val="DefaultParagraphFont"/>
    <w:link w:val="Heading4"/>
    <w:uiPriority w:val="9"/>
    <w:semiHidden/>
    <w:rsid w:val="008B2CC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2CC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2CC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2C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2CC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B2C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B2CC4"/>
    <w:pPr>
      <w:spacing w:line="240" w:lineRule="auto"/>
    </w:pPr>
    <w:rPr>
      <w:b/>
      <w:bCs/>
      <w:color w:val="4F81BD" w:themeColor="accent1"/>
      <w:sz w:val="18"/>
      <w:szCs w:val="18"/>
    </w:rPr>
  </w:style>
  <w:style w:type="character" w:styleId="Strong">
    <w:name w:val="Strong"/>
    <w:basedOn w:val="DefaultParagraphFont"/>
    <w:uiPriority w:val="22"/>
    <w:qFormat/>
    <w:rsid w:val="008B2CC4"/>
    <w:rPr>
      <w:b/>
      <w:bCs/>
    </w:rPr>
  </w:style>
  <w:style w:type="character" w:customStyle="1" w:styleId="NoSpacingChar">
    <w:name w:val="No Spacing Char"/>
    <w:basedOn w:val="DefaultParagraphFont"/>
    <w:link w:val="NoSpacing"/>
    <w:uiPriority w:val="1"/>
    <w:rsid w:val="008B2CC4"/>
  </w:style>
  <w:style w:type="paragraph" w:styleId="Quote">
    <w:name w:val="Quote"/>
    <w:basedOn w:val="Normal"/>
    <w:next w:val="Normal"/>
    <w:link w:val="QuoteChar"/>
    <w:uiPriority w:val="29"/>
    <w:qFormat/>
    <w:rsid w:val="008B2CC4"/>
    <w:rPr>
      <w:i/>
      <w:iCs/>
      <w:color w:val="000000" w:themeColor="text1"/>
    </w:rPr>
  </w:style>
  <w:style w:type="character" w:customStyle="1" w:styleId="QuoteChar">
    <w:name w:val="Quote Char"/>
    <w:basedOn w:val="DefaultParagraphFont"/>
    <w:link w:val="Quote"/>
    <w:uiPriority w:val="29"/>
    <w:rsid w:val="008B2CC4"/>
    <w:rPr>
      <w:i/>
      <w:iCs/>
      <w:color w:val="000000" w:themeColor="text1"/>
    </w:rPr>
  </w:style>
  <w:style w:type="paragraph" w:styleId="IntenseQuote">
    <w:name w:val="Intense Quote"/>
    <w:basedOn w:val="Normal"/>
    <w:next w:val="Normal"/>
    <w:link w:val="IntenseQuoteChar"/>
    <w:uiPriority w:val="30"/>
    <w:qFormat/>
    <w:rsid w:val="008B2C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B2CC4"/>
    <w:rPr>
      <w:b/>
      <w:bCs/>
      <w:i/>
      <w:iCs/>
      <w:color w:val="4F81BD" w:themeColor="accent1"/>
    </w:rPr>
  </w:style>
  <w:style w:type="character" w:styleId="SubtleEmphasis">
    <w:name w:val="Subtle Emphasis"/>
    <w:basedOn w:val="DefaultParagraphFont"/>
    <w:uiPriority w:val="19"/>
    <w:qFormat/>
    <w:rsid w:val="008B2CC4"/>
    <w:rPr>
      <w:i/>
      <w:iCs/>
      <w:color w:val="808080" w:themeColor="text1" w:themeTint="7F"/>
    </w:rPr>
  </w:style>
  <w:style w:type="character" w:styleId="IntenseEmphasis">
    <w:name w:val="Intense Emphasis"/>
    <w:basedOn w:val="DefaultParagraphFont"/>
    <w:uiPriority w:val="21"/>
    <w:qFormat/>
    <w:rsid w:val="008B2CC4"/>
    <w:rPr>
      <w:b/>
      <w:bCs/>
      <w:i/>
      <w:iCs/>
      <w:color w:val="4F81BD" w:themeColor="accent1"/>
    </w:rPr>
  </w:style>
  <w:style w:type="character" w:styleId="SubtleReference">
    <w:name w:val="Subtle Reference"/>
    <w:basedOn w:val="DefaultParagraphFont"/>
    <w:uiPriority w:val="31"/>
    <w:qFormat/>
    <w:rsid w:val="008B2CC4"/>
    <w:rPr>
      <w:smallCaps/>
      <w:color w:val="C0504D" w:themeColor="accent2"/>
      <w:u w:val="single"/>
    </w:rPr>
  </w:style>
  <w:style w:type="character" w:styleId="IntenseReference">
    <w:name w:val="Intense Reference"/>
    <w:basedOn w:val="DefaultParagraphFont"/>
    <w:uiPriority w:val="32"/>
    <w:qFormat/>
    <w:rsid w:val="008B2CC4"/>
    <w:rPr>
      <w:b/>
      <w:bCs/>
      <w:smallCaps/>
      <w:color w:val="C0504D" w:themeColor="accent2"/>
      <w:spacing w:val="5"/>
      <w:u w:val="single"/>
    </w:rPr>
  </w:style>
  <w:style w:type="character" w:styleId="BookTitle">
    <w:name w:val="Book Title"/>
    <w:basedOn w:val="DefaultParagraphFont"/>
    <w:uiPriority w:val="33"/>
    <w:qFormat/>
    <w:rsid w:val="008B2CC4"/>
    <w:rPr>
      <w:b/>
      <w:bCs/>
      <w:smallCaps/>
      <w:spacing w:val="5"/>
    </w:rPr>
  </w:style>
  <w:style w:type="paragraph" w:styleId="TOCHeading">
    <w:name w:val="TOC Heading"/>
    <w:basedOn w:val="Heading1"/>
    <w:next w:val="Normal"/>
    <w:uiPriority w:val="39"/>
    <w:semiHidden/>
    <w:unhideWhenUsed/>
    <w:qFormat/>
    <w:rsid w:val="008B2CC4"/>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CC4"/>
  </w:style>
  <w:style w:type="paragraph" w:styleId="Heading1">
    <w:name w:val="heading 1"/>
    <w:basedOn w:val="Normal"/>
    <w:next w:val="Normal"/>
    <w:link w:val="Heading1Char"/>
    <w:uiPriority w:val="9"/>
    <w:qFormat/>
    <w:rsid w:val="008B2C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B2C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B2C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2C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2CC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2CC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2CC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2CC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B2CC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0579"/>
    <w:pPr>
      <w:tabs>
        <w:tab w:val="center" w:pos="4680"/>
        <w:tab w:val="right" w:pos="9360"/>
      </w:tabs>
      <w:spacing w:after="0"/>
    </w:pPr>
  </w:style>
  <w:style w:type="character" w:customStyle="1" w:styleId="HeaderChar">
    <w:name w:val="Header Char"/>
    <w:basedOn w:val="DefaultParagraphFont"/>
    <w:link w:val="Header"/>
    <w:uiPriority w:val="99"/>
    <w:rsid w:val="009D0579"/>
  </w:style>
  <w:style w:type="paragraph" w:styleId="Footer">
    <w:name w:val="footer"/>
    <w:basedOn w:val="Normal"/>
    <w:link w:val="FooterChar"/>
    <w:uiPriority w:val="99"/>
    <w:unhideWhenUsed/>
    <w:rsid w:val="004577E8"/>
    <w:pPr>
      <w:spacing w:after="0"/>
    </w:pPr>
  </w:style>
  <w:style w:type="character" w:customStyle="1" w:styleId="FooterChar">
    <w:name w:val="Footer Char"/>
    <w:basedOn w:val="DefaultParagraphFont"/>
    <w:link w:val="Footer"/>
    <w:uiPriority w:val="99"/>
    <w:rsid w:val="004577E8"/>
    <w:rPr>
      <w:rFonts w:ascii="Calibri" w:hAnsi="Calibri" w:cs="Arial"/>
      <w:bCs/>
    </w:rPr>
  </w:style>
  <w:style w:type="paragraph" w:styleId="BalloonText">
    <w:name w:val="Balloon Text"/>
    <w:basedOn w:val="Normal"/>
    <w:link w:val="BalloonTextChar"/>
    <w:uiPriority w:val="99"/>
    <w:semiHidden/>
    <w:unhideWhenUsed/>
    <w:rsid w:val="009D0579"/>
    <w:pPr>
      <w:spacing w:after="0"/>
    </w:pPr>
    <w:rPr>
      <w:rFonts w:cs="Tahoma"/>
      <w:sz w:val="16"/>
      <w:szCs w:val="16"/>
    </w:rPr>
  </w:style>
  <w:style w:type="character" w:customStyle="1" w:styleId="BalloonTextChar">
    <w:name w:val="Balloon Text Char"/>
    <w:basedOn w:val="DefaultParagraphFont"/>
    <w:link w:val="BalloonText"/>
    <w:uiPriority w:val="99"/>
    <w:semiHidden/>
    <w:rsid w:val="009D0579"/>
    <w:rPr>
      <w:rFonts w:ascii="Tahoma" w:hAnsi="Tahoma" w:cs="Tahoma"/>
      <w:sz w:val="16"/>
      <w:szCs w:val="16"/>
    </w:rPr>
  </w:style>
  <w:style w:type="character" w:styleId="Hyperlink">
    <w:name w:val="Hyperlink"/>
    <w:unhideWhenUsed/>
    <w:rsid w:val="00087FEE"/>
    <w:rPr>
      <w:color w:val="0000FF"/>
      <w:u w:val="single"/>
    </w:rPr>
  </w:style>
  <w:style w:type="table" w:styleId="TableGrid">
    <w:name w:val="Table Grid"/>
    <w:basedOn w:val="TableNormal"/>
    <w:uiPriority w:val="59"/>
    <w:rsid w:val="00087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B2CC4"/>
    <w:pPr>
      <w:ind w:left="720"/>
      <w:contextualSpacing/>
    </w:pPr>
  </w:style>
  <w:style w:type="paragraph" w:customStyle="1" w:styleId="TableTitles">
    <w:name w:val="Table Titles"/>
    <w:basedOn w:val="Normal"/>
    <w:link w:val="TableTitlesChar"/>
    <w:rsid w:val="00C37E57"/>
    <w:pPr>
      <w:spacing w:before="60" w:after="60"/>
    </w:pPr>
    <w:rPr>
      <w:rFonts w:eastAsia="Calibri" w:cs="Times New Roman"/>
      <w:b/>
      <w:i/>
      <w:sz w:val="32"/>
      <w:szCs w:val="32"/>
      <w:lang w:bidi="en-US"/>
    </w:rPr>
  </w:style>
  <w:style w:type="character" w:customStyle="1" w:styleId="TableTitlesChar">
    <w:name w:val="Table Titles Char"/>
    <w:link w:val="TableTitles"/>
    <w:rsid w:val="00C37E57"/>
    <w:rPr>
      <w:rFonts w:ascii="Calibri" w:eastAsia="Calibri" w:hAnsi="Calibri" w:cs="Times New Roman"/>
      <w:b/>
      <w:bCs/>
      <w:i/>
      <w:sz w:val="32"/>
      <w:szCs w:val="32"/>
      <w:lang w:bidi="en-US"/>
    </w:rPr>
  </w:style>
  <w:style w:type="character" w:styleId="FollowedHyperlink">
    <w:name w:val="FollowedHyperlink"/>
    <w:basedOn w:val="DefaultParagraphFont"/>
    <w:uiPriority w:val="99"/>
    <w:semiHidden/>
    <w:unhideWhenUsed/>
    <w:rsid w:val="00FF6AE9"/>
    <w:rPr>
      <w:color w:val="800080" w:themeColor="followedHyperlink"/>
      <w:u w:val="single"/>
    </w:rPr>
  </w:style>
  <w:style w:type="paragraph" w:customStyle="1" w:styleId="SlideTitle">
    <w:name w:val="Slide Title"/>
    <w:basedOn w:val="Normal"/>
    <w:rsid w:val="00C41B91"/>
    <w:pPr>
      <w:spacing w:before="80" w:after="0"/>
    </w:pPr>
    <w:rPr>
      <w:b/>
      <w:bCs/>
      <w:sz w:val="28"/>
    </w:rPr>
  </w:style>
  <w:style w:type="character" w:styleId="CommentReference">
    <w:name w:val="annotation reference"/>
    <w:basedOn w:val="DefaultParagraphFont"/>
    <w:uiPriority w:val="99"/>
    <w:semiHidden/>
    <w:unhideWhenUsed/>
    <w:rsid w:val="00865DC6"/>
    <w:rPr>
      <w:sz w:val="16"/>
      <w:szCs w:val="16"/>
    </w:rPr>
  </w:style>
  <w:style w:type="paragraph" w:styleId="CommentText">
    <w:name w:val="annotation text"/>
    <w:basedOn w:val="Normal"/>
    <w:link w:val="CommentTextChar"/>
    <w:uiPriority w:val="99"/>
    <w:unhideWhenUsed/>
    <w:rsid w:val="00865DC6"/>
    <w:rPr>
      <w:sz w:val="20"/>
      <w:szCs w:val="20"/>
    </w:rPr>
  </w:style>
  <w:style w:type="character" w:customStyle="1" w:styleId="CommentTextChar">
    <w:name w:val="Comment Text Char"/>
    <w:basedOn w:val="DefaultParagraphFont"/>
    <w:link w:val="CommentText"/>
    <w:uiPriority w:val="99"/>
    <w:rsid w:val="00865DC6"/>
    <w:rPr>
      <w:sz w:val="20"/>
      <w:szCs w:val="20"/>
    </w:rPr>
  </w:style>
  <w:style w:type="paragraph" w:styleId="CommentSubject">
    <w:name w:val="annotation subject"/>
    <w:basedOn w:val="CommentText"/>
    <w:next w:val="CommentText"/>
    <w:link w:val="CommentSubjectChar"/>
    <w:uiPriority w:val="99"/>
    <w:semiHidden/>
    <w:unhideWhenUsed/>
    <w:rsid w:val="00865DC6"/>
    <w:rPr>
      <w:b/>
      <w:bCs/>
    </w:rPr>
  </w:style>
  <w:style w:type="character" w:customStyle="1" w:styleId="CommentSubjectChar">
    <w:name w:val="Comment Subject Char"/>
    <w:basedOn w:val="CommentTextChar"/>
    <w:link w:val="CommentSubject"/>
    <w:uiPriority w:val="99"/>
    <w:semiHidden/>
    <w:rsid w:val="00865DC6"/>
    <w:rPr>
      <w:b/>
      <w:bCs/>
      <w:sz w:val="20"/>
      <w:szCs w:val="20"/>
    </w:rPr>
  </w:style>
  <w:style w:type="character" w:styleId="PageNumber">
    <w:name w:val="page number"/>
    <w:basedOn w:val="DefaultParagraphFont"/>
    <w:uiPriority w:val="99"/>
    <w:semiHidden/>
    <w:unhideWhenUsed/>
    <w:rsid w:val="00674423"/>
  </w:style>
  <w:style w:type="character" w:customStyle="1" w:styleId="Heading2Char">
    <w:name w:val="Heading 2 Char"/>
    <w:basedOn w:val="DefaultParagraphFont"/>
    <w:link w:val="Heading2"/>
    <w:uiPriority w:val="9"/>
    <w:rsid w:val="008B2CC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B2CC4"/>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8B2CC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2CC4"/>
    <w:rPr>
      <w:rFonts w:asciiTheme="majorHAnsi" w:eastAsiaTheme="majorEastAsia" w:hAnsiTheme="majorHAnsi" w:cstheme="majorBidi"/>
      <w:color w:val="17365D" w:themeColor="text2" w:themeShade="BF"/>
      <w:spacing w:val="5"/>
      <w:kern w:val="28"/>
      <w:sz w:val="52"/>
      <w:szCs w:val="52"/>
    </w:rPr>
  </w:style>
  <w:style w:type="paragraph" w:styleId="Subtitle">
    <w:name w:val="Subtitle"/>
    <w:aliases w:val="Program Title"/>
    <w:basedOn w:val="Normal"/>
    <w:next w:val="Normal"/>
    <w:link w:val="SubtitleChar"/>
    <w:uiPriority w:val="11"/>
    <w:qFormat/>
    <w:rsid w:val="008B2C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Program Title Char"/>
    <w:basedOn w:val="DefaultParagraphFont"/>
    <w:link w:val="Subtitle"/>
    <w:uiPriority w:val="11"/>
    <w:rsid w:val="008B2CC4"/>
    <w:rPr>
      <w:rFonts w:asciiTheme="majorHAnsi" w:eastAsiaTheme="majorEastAsia" w:hAnsiTheme="majorHAnsi" w:cstheme="majorBidi"/>
      <w:i/>
      <w:iCs/>
      <w:color w:val="4F81BD" w:themeColor="accent1"/>
      <w:spacing w:val="15"/>
      <w:sz w:val="24"/>
      <w:szCs w:val="24"/>
    </w:rPr>
  </w:style>
  <w:style w:type="character" w:styleId="Emphasis">
    <w:name w:val="Emphasis"/>
    <w:aliases w:val="AHRQ Publication"/>
    <w:basedOn w:val="DefaultParagraphFont"/>
    <w:uiPriority w:val="20"/>
    <w:qFormat/>
    <w:rsid w:val="008B2CC4"/>
    <w:rPr>
      <w:i/>
      <w:iCs/>
    </w:rPr>
  </w:style>
  <w:style w:type="paragraph" w:customStyle="1" w:styleId="Instructions">
    <w:name w:val="Instructions"/>
    <w:basedOn w:val="Normal"/>
    <w:link w:val="InstructionsChar"/>
    <w:rsid w:val="00283168"/>
    <w:pPr>
      <w:framePr w:hSpace="180" w:wrap="around" w:vAnchor="text" w:hAnchor="text" w:xAlign="right" w:y="1"/>
      <w:spacing w:before="120" w:after="0"/>
      <w:suppressOverlap/>
    </w:pPr>
    <w:rPr>
      <w:rFonts w:cs="Tahoma"/>
      <w:b/>
      <w:bCs/>
      <w:lang w:bidi="en-US"/>
    </w:rPr>
  </w:style>
  <w:style w:type="paragraph" w:customStyle="1" w:styleId="FooterWhite">
    <w:name w:val="Footer White"/>
    <w:basedOn w:val="Normal"/>
    <w:rsid w:val="004577E8"/>
    <w:rPr>
      <w:color w:val="FFFFFF" w:themeColor="background1"/>
      <w:sz w:val="20"/>
    </w:rPr>
  </w:style>
  <w:style w:type="character" w:customStyle="1" w:styleId="InstructionsChar">
    <w:name w:val="Instructions Char"/>
    <w:link w:val="Instructions"/>
    <w:rsid w:val="00283168"/>
    <w:rPr>
      <w:rFonts w:ascii="Calibri" w:hAnsi="Calibri" w:cs="Tahoma"/>
      <w:b/>
      <w:sz w:val="24"/>
      <w:lang w:bidi="en-US"/>
    </w:rPr>
  </w:style>
  <w:style w:type="paragraph" w:customStyle="1" w:styleId="NumberedList">
    <w:name w:val="Numbered List"/>
    <w:basedOn w:val="ListParagraph"/>
    <w:rsid w:val="004577E8"/>
    <w:pPr>
      <w:numPr>
        <w:numId w:val="23"/>
      </w:numPr>
    </w:pPr>
  </w:style>
  <w:style w:type="character" w:customStyle="1" w:styleId="Heading1Char">
    <w:name w:val="Heading 1 Char"/>
    <w:basedOn w:val="DefaultParagraphFont"/>
    <w:link w:val="Heading1"/>
    <w:uiPriority w:val="9"/>
    <w:rsid w:val="008B2CC4"/>
    <w:rPr>
      <w:rFonts w:asciiTheme="majorHAnsi" w:eastAsiaTheme="majorEastAsia" w:hAnsiTheme="majorHAnsi" w:cstheme="majorBidi"/>
      <w:b/>
      <w:bCs/>
      <w:color w:val="365F91" w:themeColor="accent1" w:themeShade="BF"/>
      <w:sz w:val="28"/>
      <w:szCs w:val="28"/>
    </w:rPr>
  </w:style>
  <w:style w:type="paragraph" w:customStyle="1" w:styleId="SUBwithRuleBelow">
    <w:name w:val="SUB with Rule Below"/>
    <w:basedOn w:val="Normal"/>
    <w:uiPriority w:val="99"/>
    <w:rsid w:val="0086706D"/>
    <w:pPr>
      <w:widowControl w:val="0"/>
      <w:pBdr>
        <w:bottom w:val="single" w:sz="8" w:space="4" w:color="000000"/>
      </w:pBdr>
      <w:tabs>
        <w:tab w:val="left" w:pos="180"/>
        <w:tab w:val="left" w:pos="360"/>
      </w:tabs>
      <w:autoSpaceDE w:val="0"/>
      <w:autoSpaceDN w:val="0"/>
      <w:adjustRightInd w:val="0"/>
      <w:spacing w:after="80" w:line="320" w:lineRule="atLeast"/>
      <w:textAlignment w:val="center"/>
    </w:pPr>
    <w:rPr>
      <w:rFonts w:ascii="GillSansStd-Bold" w:hAnsi="GillSansStd-Bold" w:cs="GillSansStd-Bold"/>
      <w:b/>
      <w:caps/>
      <w:color w:val="243F8D"/>
      <w:szCs w:val="24"/>
    </w:rPr>
  </w:style>
  <w:style w:type="paragraph" w:customStyle="1" w:styleId="BasicParagraph">
    <w:name w:val="[Basic Paragraph]"/>
    <w:basedOn w:val="Normal"/>
    <w:uiPriority w:val="99"/>
    <w:rsid w:val="0086706D"/>
    <w:pPr>
      <w:widowControl w:val="0"/>
      <w:tabs>
        <w:tab w:val="left" w:pos="200"/>
        <w:tab w:val="left" w:pos="440"/>
        <w:tab w:val="left" w:pos="640"/>
        <w:tab w:val="left" w:pos="880"/>
      </w:tabs>
      <w:autoSpaceDE w:val="0"/>
      <w:autoSpaceDN w:val="0"/>
      <w:adjustRightInd w:val="0"/>
      <w:spacing w:after="160" w:line="320" w:lineRule="atLeast"/>
      <w:textAlignment w:val="center"/>
    </w:pPr>
    <w:rPr>
      <w:rFonts w:ascii="GillSansStd" w:hAnsi="GillSansStd" w:cs="GillSansStd"/>
      <w:bCs/>
      <w:color w:val="000000"/>
      <w:szCs w:val="24"/>
    </w:rPr>
  </w:style>
  <w:style w:type="character" w:customStyle="1" w:styleId="SquareBlueSolidDingbat">
    <w:name w:val="Square/Blue Solid Dingbat"/>
    <w:uiPriority w:val="99"/>
    <w:rsid w:val="0086706D"/>
    <w:rPr>
      <w:rFonts w:ascii="ZapfDingbatsITC" w:hAnsi="ZapfDingbatsITC" w:cs="ZapfDingbatsITC"/>
      <w:color w:val="243F8D"/>
      <w:position w:val="2"/>
      <w:sz w:val="18"/>
      <w:szCs w:val="18"/>
    </w:rPr>
  </w:style>
  <w:style w:type="character" w:customStyle="1" w:styleId="SquareBlueHollowDingbat">
    <w:name w:val="Square/Blue Hollow Dingbat"/>
    <w:basedOn w:val="SquareBlueSolidDingbat"/>
    <w:uiPriority w:val="99"/>
    <w:rsid w:val="0086706D"/>
    <w:rPr>
      <w:rFonts w:ascii="Wingdings" w:hAnsi="Wingdings" w:cs="Wingdings"/>
      <w:color w:val="243F8D"/>
      <w:position w:val="2"/>
      <w:sz w:val="18"/>
      <w:szCs w:val="18"/>
    </w:rPr>
  </w:style>
  <w:style w:type="table" w:customStyle="1" w:styleId="ListTable3-Accent51">
    <w:name w:val="List Table 3 - Accent 51"/>
    <w:basedOn w:val="TableNormal"/>
    <w:uiPriority w:val="48"/>
    <w:rsid w:val="00515B1A"/>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styleId="NoSpacing">
    <w:name w:val="No Spacing"/>
    <w:link w:val="NoSpacingChar"/>
    <w:uiPriority w:val="1"/>
    <w:qFormat/>
    <w:rsid w:val="008B2CC4"/>
    <w:pPr>
      <w:spacing w:after="0" w:line="240" w:lineRule="auto"/>
    </w:pPr>
  </w:style>
  <w:style w:type="paragraph" w:customStyle="1" w:styleId="Guideline">
    <w:name w:val="Guideline"/>
    <w:basedOn w:val="NoSpacing"/>
    <w:qFormat/>
    <w:rsid w:val="008B2CC4"/>
    <w:pPr>
      <w:spacing w:before="120" w:after="120"/>
    </w:pPr>
    <w:rPr>
      <w:rFonts w:asciiTheme="majorHAnsi" w:hAnsiTheme="majorHAnsi"/>
      <w:i/>
      <w:sz w:val="24"/>
      <w:szCs w:val="24"/>
    </w:rPr>
  </w:style>
  <w:style w:type="paragraph" w:customStyle="1" w:styleId="MainPointGuideline">
    <w:name w:val="MainPoint Guideline"/>
    <w:basedOn w:val="ListParagraph"/>
    <w:qFormat/>
    <w:rsid w:val="008B2CC4"/>
    <w:pPr>
      <w:widowControl w:val="0"/>
      <w:numPr>
        <w:numId w:val="38"/>
      </w:numPr>
      <w:overflowPunct w:val="0"/>
      <w:adjustRightInd w:val="0"/>
      <w:spacing w:before="20" w:after="120" w:line="240" w:lineRule="auto"/>
    </w:pPr>
    <w:rPr>
      <w:rFonts w:cs="Arial"/>
      <w:b/>
      <w:i/>
    </w:rPr>
  </w:style>
  <w:style w:type="paragraph" w:customStyle="1" w:styleId="HighlightedBibliography">
    <w:name w:val="Highlighted Bibliography"/>
    <w:basedOn w:val="NormalWeb"/>
    <w:qFormat/>
    <w:rsid w:val="008B2CC4"/>
    <w:pPr>
      <w:spacing w:before="120" w:after="120" w:line="240" w:lineRule="auto"/>
      <w:ind w:left="1440"/>
    </w:pPr>
    <w:rPr>
      <w:rFonts w:asciiTheme="majorHAnsi" w:eastAsia="Times New Roman" w:hAnsiTheme="majorHAnsi" w:cs="Arial"/>
      <w:b/>
      <w:sz w:val="20"/>
      <w:szCs w:val="20"/>
      <w:shd w:val="clear" w:color="auto" w:fill="FFFF99"/>
    </w:rPr>
  </w:style>
  <w:style w:type="paragraph" w:styleId="NormalWeb">
    <w:name w:val="Normal (Web)"/>
    <w:basedOn w:val="Normal"/>
    <w:uiPriority w:val="99"/>
    <w:semiHidden/>
    <w:unhideWhenUsed/>
    <w:rsid w:val="008B2CC4"/>
    <w:rPr>
      <w:rFonts w:ascii="Times New Roman" w:hAnsi="Times New Roman" w:cs="Times New Roman"/>
      <w:szCs w:val="24"/>
    </w:rPr>
  </w:style>
  <w:style w:type="character" w:customStyle="1" w:styleId="Heading4Char">
    <w:name w:val="Heading 4 Char"/>
    <w:basedOn w:val="DefaultParagraphFont"/>
    <w:link w:val="Heading4"/>
    <w:uiPriority w:val="9"/>
    <w:semiHidden/>
    <w:rsid w:val="008B2CC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2CC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2CC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2CC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2CC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8B2CC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8B2CC4"/>
    <w:pPr>
      <w:spacing w:line="240" w:lineRule="auto"/>
    </w:pPr>
    <w:rPr>
      <w:b/>
      <w:bCs/>
      <w:color w:val="4F81BD" w:themeColor="accent1"/>
      <w:sz w:val="18"/>
      <w:szCs w:val="18"/>
    </w:rPr>
  </w:style>
  <w:style w:type="character" w:styleId="Strong">
    <w:name w:val="Strong"/>
    <w:basedOn w:val="DefaultParagraphFont"/>
    <w:uiPriority w:val="22"/>
    <w:qFormat/>
    <w:rsid w:val="008B2CC4"/>
    <w:rPr>
      <w:b/>
      <w:bCs/>
    </w:rPr>
  </w:style>
  <w:style w:type="character" w:customStyle="1" w:styleId="NoSpacingChar">
    <w:name w:val="No Spacing Char"/>
    <w:basedOn w:val="DefaultParagraphFont"/>
    <w:link w:val="NoSpacing"/>
    <w:uiPriority w:val="1"/>
    <w:rsid w:val="008B2CC4"/>
  </w:style>
  <w:style w:type="paragraph" w:styleId="Quote">
    <w:name w:val="Quote"/>
    <w:basedOn w:val="Normal"/>
    <w:next w:val="Normal"/>
    <w:link w:val="QuoteChar"/>
    <w:uiPriority w:val="29"/>
    <w:qFormat/>
    <w:rsid w:val="008B2CC4"/>
    <w:rPr>
      <w:i/>
      <w:iCs/>
      <w:color w:val="000000" w:themeColor="text1"/>
    </w:rPr>
  </w:style>
  <w:style w:type="character" w:customStyle="1" w:styleId="QuoteChar">
    <w:name w:val="Quote Char"/>
    <w:basedOn w:val="DefaultParagraphFont"/>
    <w:link w:val="Quote"/>
    <w:uiPriority w:val="29"/>
    <w:rsid w:val="008B2CC4"/>
    <w:rPr>
      <w:i/>
      <w:iCs/>
      <w:color w:val="000000" w:themeColor="text1"/>
    </w:rPr>
  </w:style>
  <w:style w:type="paragraph" w:styleId="IntenseQuote">
    <w:name w:val="Intense Quote"/>
    <w:basedOn w:val="Normal"/>
    <w:next w:val="Normal"/>
    <w:link w:val="IntenseQuoteChar"/>
    <w:uiPriority w:val="30"/>
    <w:qFormat/>
    <w:rsid w:val="008B2CC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B2CC4"/>
    <w:rPr>
      <w:b/>
      <w:bCs/>
      <w:i/>
      <w:iCs/>
      <w:color w:val="4F81BD" w:themeColor="accent1"/>
    </w:rPr>
  </w:style>
  <w:style w:type="character" w:styleId="SubtleEmphasis">
    <w:name w:val="Subtle Emphasis"/>
    <w:basedOn w:val="DefaultParagraphFont"/>
    <w:uiPriority w:val="19"/>
    <w:qFormat/>
    <w:rsid w:val="008B2CC4"/>
    <w:rPr>
      <w:i/>
      <w:iCs/>
      <w:color w:val="808080" w:themeColor="text1" w:themeTint="7F"/>
    </w:rPr>
  </w:style>
  <w:style w:type="character" w:styleId="IntenseEmphasis">
    <w:name w:val="Intense Emphasis"/>
    <w:basedOn w:val="DefaultParagraphFont"/>
    <w:uiPriority w:val="21"/>
    <w:qFormat/>
    <w:rsid w:val="008B2CC4"/>
    <w:rPr>
      <w:b/>
      <w:bCs/>
      <w:i/>
      <w:iCs/>
      <w:color w:val="4F81BD" w:themeColor="accent1"/>
    </w:rPr>
  </w:style>
  <w:style w:type="character" w:styleId="SubtleReference">
    <w:name w:val="Subtle Reference"/>
    <w:basedOn w:val="DefaultParagraphFont"/>
    <w:uiPriority w:val="31"/>
    <w:qFormat/>
    <w:rsid w:val="008B2CC4"/>
    <w:rPr>
      <w:smallCaps/>
      <w:color w:val="C0504D" w:themeColor="accent2"/>
      <w:u w:val="single"/>
    </w:rPr>
  </w:style>
  <w:style w:type="character" w:styleId="IntenseReference">
    <w:name w:val="Intense Reference"/>
    <w:basedOn w:val="DefaultParagraphFont"/>
    <w:uiPriority w:val="32"/>
    <w:qFormat/>
    <w:rsid w:val="008B2CC4"/>
    <w:rPr>
      <w:b/>
      <w:bCs/>
      <w:smallCaps/>
      <w:color w:val="C0504D" w:themeColor="accent2"/>
      <w:spacing w:val="5"/>
      <w:u w:val="single"/>
    </w:rPr>
  </w:style>
  <w:style w:type="character" w:styleId="BookTitle">
    <w:name w:val="Book Title"/>
    <w:basedOn w:val="DefaultParagraphFont"/>
    <w:uiPriority w:val="33"/>
    <w:qFormat/>
    <w:rsid w:val="008B2CC4"/>
    <w:rPr>
      <w:b/>
      <w:bCs/>
      <w:smallCaps/>
      <w:spacing w:val="5"/>
    </w:rPr>
  </w:style>
  <w:style w:type="paragraph" w:styleId="TOCHeading">
    <w:name w:val="TOC Heading"/>
    <w:basedOn w:val="Heading1"/>
    <w:next w:val="Normal"/>
    <w:uiPriority w:val="39"/>
    <w:semiHidden/>
    <w:unhideWhenUsed/>
    <w:qFormat/>
    <w:rsid w:val="008B2CC4"/>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574">
      <w:bodyDiv w:val="1"/>
      <w:marLeft w:val="0"/>
      <w:marRight w:val="0"/>
      <w:marTop w:val="0"/>
      <w:marBottom w:val="0"/>
      <w:divBdr>
        <w:top w:val="none" w:sz="0" w:space="0" w:color="auto"/>
        <w:left w:val="none" w:sz="0" w:space="0" w:color="auto"/>
        <w:bottom w:val="none" w:sz="0" w:space="0" w:color="auto"/>
        <w:right w:val="none" w:sz="0" w:space="0" w:color="auto"/>
      </w:divBdr>
      <w:divsChild>
        <w:div w:id="1944485284">
          <w:marLeft w:val="547"/>
          <w:marRight w:val="0"/>
          <w:marTop w:val="0"/>
          <w:marBottom w:val="240"/>
          <w:divBdr>
            <w:top w:val="none" w:sz="0" w:space="0" w:color="auto"/>
            <w:left w:val="none" w:sz="0" w:space="0" w:color="auto"/>
            <w:bottom w:val="none" w:sz="0" w:space="0" w:color="auto"/>
            <w:right w:val="none" w:sz="0" w:space="0" w:color="auto"/>
          </w:divBdr>
        </w:div>
        <w:div w:id="2088722288">
          <w:marLeft w:val="547"/>
          <w:marRight w:val="0"/>
          <w:marTop w:val="0"/>
          <w:marBottom w:val="240"/>
          <w:divBdr>
            <w:top w:val="none" w:sz="0" w:space="0" w:color="auto"/>
            <w:left w:val="none" w:sz="0" w:space="0" w:color="auto"/>
            <w:bottom w:val="none" w:sz="0" w:space="0" w:color="auto"/>
            <w:right w:val="none" w:sz="0" w:space="0" w:color="auto"/>
          </w:divBdr>
        </w:div>
        <w:div w:id="790394105">
          <w:marLeft w:val="547"/>
          <w:marRight w:val="0"/>
          <w:marTop w:val="0"/>
          <w:marBottom w:val="240"/>
          <w:divBdr>
            <w:top w:val="none" w:sz="0" w:space="0" w:color="auto"/>
            <w:left w:val="none" w:sz="0" w:space="0" w:color="auto"/>
            <w:bottom w:val="none" w:sz="0" w:space="0" w:color="auto"/>
            <w:right w:val="none" w:sz="0" w:space="0" w:color="auto"/>
          </w:divBdr>
        </w:div>
        <w:div w:id="2033874906">
          <w:marLeft w:val="547"/>
          <w:marRight w:val="0"/>
          <w:marTop w:val="0"/>
          <w:marBottom w:val="240"/>
          <w:divBdr>
            <w:top w:val="none" w:sz="0" w:space="0" w:color="auto"/>
            <w:left w:val="none" w:sz="0" w:space="0" w:color="auto"/>
            <w:bottom w:val="none" w:sz="0" w:space="0" w:color="auto"/>
            <w:right w:val="none" w:sz="0" w:space="0" w:color="auto"/>
          </w:divBdr>
        </w:div>
      </w:divsChild>
    </w:div>
    <w:div w:id="122890218">
      <w:bodyDiv w:val="1"/>
      <w:marLeft w:val="0"/>
      <w:marRight w:val="0"/>
      <w:marTop w:val="0"/>
      <w:marBottom w:val="0"/>
      <w:divBdr>
        <w:top w:val="none" w:sz="0" w:space="0" w:color="auto"/>
        <w:left w:val="none" w:sz="0" w:space="0" w:color="auto"/>
        <w:bottom w:val="none" w:sz="0" w:space="0" w:color="auto"/>
        <w:right w:val="none" w:sz="0" w:space="0" w:color="auto"/>
      </w:divBdr>
    </w:div>
    <w:div w:id="259146325">
      <w:bodyDiv w:val="1"/>
      <w:marLeft w:val="0"/>
      <w:marRight w:val="0"/>
      <w:marTop w:val="0"/>
      <w:marBottom w:val="0"/>
      <w:divBdr>
        <w:top w:val="none" w:sz="0" w:space="0" w:color="auto"/>
        <w:left w:val="none" w:sz="0" w:space="0" w:color="auto"/>
        <w:bottom w:val="none" w:sz="0" w:space="0" w:color="auto"/>
        <w:right w:val="none" w:sz="0" w:space="0" w:color="auto"/>
      </w:divBdr>
    </w:div>
    <w:div w:id="368724086">
      <w:bodyDiv w:val="1"/>
      <w:marLeft w:val="0"/>
      <w:marRight w:val="0"/>
      <w:marTop w:val="0"/>
      <w:marBottom w:val="0"/>
      <w:divBdr>
        <w:top w:val="none" w:sz="0" w:space="0" w:color="auto"/>
        <w:left w:val="none" w:sz="0" w:space="0" w:color="auto"/>
        <w:bottom w:val="none" w:sz="0" w:space="0" w:color="auto"/>
        <w:right w:val="none" w:sz="0" w:space="0" w:color="auto"/>
      </w:divBdr>
      <w:divsChild>
        <w:div w:id="1771310746">
          <w:marLeft w:val="547"/>
          <w:marRight w:val="0"/>
          <w:marTop w:val="0"/>
          <w:marBottom w:val="120"/>
          <w:divBdr>
            <w:top w:val="none" w:sz="0" w:space="0" w:color="auto"/>
            <w:left w:val="none" w:sz="0" w:space="0" w:color="auto"/>
            <w:bottom w:val="none" w:sz="0" w:space="0" w:color="auto"/>
            <w:right w:val="none" w:sz="0" w:space="0" w:color="auto"/>
          </w:divBdr>
        </w:div>
        <w:div w:id="1780181351">
          <w:marLeft w:val="547"/>
          <w:marRight w:val="0"/>
          <w:marTop w:val="0"/>
          <w:marBottom w:val="120"/>
          <w:divBdr>
            <w:top w:val="none" w:sz="0" w:space="0" w:color="auto"/>
            <w:left w:val="none" w:sz="0" w:space="0" w:color="auto"/>
            <w:bottom w:val="none" w:sz="0" w:space="0" w:color="auto"/>
            <w:right w:val="none" w:sz="0" w:space="0" w:color="auto"/>
          </w:divBdr>
        </w:div>
        <w:div w:id="1850095066">
          <w:marLeft w:val="547"/>
          <w:marRight w:val="0"/>
          <w:marTop w:val="0"/>
          <w:marBottom w:val="120"/>
          <w:divBdr>
            <w:top w:val="none" w:sz="0" w:space="0" w:color="auto"/>
            <w:left w:val="none" w:sz="0" w:space="0" w:color="auto"/>
            <w:bottom w:val="none" w:sz="0" w:space="0" w:color="auto"/>
            <w:right w:val="none" w:sz="0" w:space="0" w:color="auto"/>
          </w:divBdr>
        </w:div>
        <w:div w:id="326204347">
          <w:marLeft w:val="547"/>
          <w:marRight w:val="0"/>
          <w:marTop w:val="0"/>
          <w:marBottom w:val="120"/>
          <w:divBdr>
            <w:top w:val="none" w:sz="0" w:space="0" w:color="auto"/>
            <w:left w:val="none" w:sz="0" w:space="0" w:color="auto"/>
            <w:bottom w:val="none" w:sz="0" w:space="0" w:color="auto"/>
            <w:right w:val="none" w:sz="0" w:space="0" w:color="auto"/>
          </w:divBdr>
        </w:div>
        <w:div w:id="44378279">
          <w:marLeft w:val="547"/>
          <w:marRight w:val="0"/>
          <w:marTop w:val="0"/>
          <w:marBottom w:val="120"/>
          <w:divBdr>
            <w:top w:val="none" w:sz="0" w:space="0" w:color="auto"/>
            <w:left w:val="none" w:sz="0" w:space="0" w:color="auto"/>
            <w:bottom w:val="none" w:sz="0" w:space="0" w:color="auto"/>
            <w:right w:val="none" w:sz="0" w:space="0" w:color="auto"/>
          </w:divBdr>
        </w:div>
      </w:divsChild>
    </w:div>
    <w:div w:id="433018004">
      <w:bodyDiv w:val="1"/>
      <w:marLeft w:val="0"/>
      <w:marRight w:val="0"/>
      <w:marTop w:val="0"/>
      <w:marBottom w:val="0"/>
      <w:divBdr>
        <w:top w:val="none" w:sz="0" w:space="0" w:color="auto"/>
        <w:left w:val="none" w:sz="0" w:space="0" w:color="auto"/>
        <w:bottom w:val="none" w:sz="0" w:space="0" w:color="auto"/>
        <w:right w:val="none" w:sz="0" w:space="0" w:color="auto"/>
      </w:divBdr>
      <w:divsChild>
        <w:div w:id="18511701">
          <w:marLeft w:val="547"/>
          <w:marRight w:val="0"/>
          <w:marTop w:val="0"/>
          <w:marBottom w:val="120"/>
          <w:divBdr>
            <w:top w:val="none" w:sz="0" w:space="0" w:color="auto"/>
            <w:left w:val="none" w:sz="0" w:space="0" w:color="auto"/>
            <w:bottom w:val="none" w:sz="0" w:space="0" w:color="auto"/>
            <w:right w:val="none" w:sz="0" w:space="0" w:color="auto"/>
          </w:divBdr>
        </w:div>
        <w:div w:id="501314015">
          <w:marLeft w:val="547"/>
          <w:marRight w:val="0"/>
          <w:marTop w:val="0"/>
          <w:marBottom w:val="120"/>
          <w:divBdr>
            <w:top w:val="none" w:sz="0" w:space="0" w:color="auto"/>
            <w:left w:val="none" w:sz="0" w:space="0" w:color="auto"/>
            <w:bottom w:val="none" w:sz="0" w:space="0" w:color="auto"/>
            <w:right w:val="none" w:sz="0" w:space="0" w:color="auto"/>
          </w:divBdr>
        </w:div>
        <w:div w:id="1457605004">
          <w:marLeft w:val="547"/>
          <w:marRight w:val="0"/>
          <w:marTop w:val="0"/>
          <w:marBottom w:val="120"/>
          <w:divBdr>
            <w:top w:val="none" w:sz="0" w:space="0" w:color="auto"/>
            <w:left w:val="none" w:sz="0" w:space="0" w:color="auto"/>
            <w:bottom w:val="none" w:sz="0" w:space="0" w:color="auto"/>
            <w:right w:val="none" w:sz="0" w:space="0" w:color="auto"/>
          </w:divBdr>
        </w:div>
        <w:div w:id="1423722382">
          <w:marLeft w:val="547"/>
          <w:marRight w:val="0"/>
          <w:marTop w:val="0"/>
          <w:marBottom w:val="120"/>
          <w:divBdr>
            <w:top w:val="none" w:sz="0" w:space="0" w:color="auto"/>
            <w:left w:val="none" w:sz="0" w:space="0" w:color="auto"/>
            <w:bottom w:val="none" w:sz="0" w:space="0" w:color="auto"/>
            <w:right w:val="none" w:sz="0" w:space="0" w:color="auto"/>
          </w:divBdr>
        </w:div>
        <w:div w:id="1629387331">
          <w:marLeft w:val="547"/>
          <w:marRight w:val="0"/>
          <w:marTop w:val="0"/>
          <w:marBottom w:val="120"/>
          <w:divBdr>
            <w:top w:val="none" w:sz="0" w:space="0" w:color="auto"/>
            <w:left w:val="none" w:sz="0" w:space="0" w:color="auto"/>
            <w:bottom w:val="none" w:sz="0" w:space="0" w:color="auto"/>
            <w:right w:val="none" w:sz="0" w:space="0" w:color="auto"/>
          </w:divBdr>
        </w:div>
      </w:divsChild>
    </w:div>
    <w:div w:id="466509067">
      <w:bodyDiv w:val="1"/>
      <w:marLeft w:val="0"/>
      <w:marRight w:val="0"/>
      <w:marTop w:val="0"/>
      <w:marBottom w:val="0"/>
      <w:divBdr>
        <w:top w:val="none" w:sz="0" w:space="0" w:color="auto"/>
        <w:left w:val="none" w:sz="0" w:space="0" w:color="auto"/>
        <w:bottom w:val="none" w:sz="0" w:space="0" w:color="auto"/>
        <w:right w:val="none" w:sz="0" w:space="0" w:color="auto"/>
      </w:divBdr>
    </w:div>
    <w:div w:id="470245781">
      <w:bodyDiv w:val="1"/>
      <w:marLeft w:val="0"/>
      <w:marRight w:val="0"/>
      <w:marTop w:val="0"/>
      <w:marBottom w:val="0"/>
      <w:divBdr>
        <w:top w:val="none" w:sz="0" w:space="0" w:color="auto"/>
        <w:left w:val="none" w:sz="0" w:space="0" w:color="auto"/>
        <w:bottom w:val="none" w:sz="0" w:space="0" w:color="auto"/>
        <w:right w:val="none" w:sz="0" w:space="0" w:color="auto"/>
      </w:divBdr>
      <w:divsChild>
        <w:div w:id="186406843">
          <w:marLeft w:val="547"/>
          <w:marRight w:val="0"/>
          <w:marTop w:val="0"/>
          <w:marBottom w:val="240"/>
          <w:divBdr>
            <w:top w:val="none" w:sz="0" w:space="0" w:color="auto"/>
            <w:left w:val="none" w:sz="0" w:space="0" w:color="auto"/>
            <w:bottom w:val="none" w:sz="0" w:space="0" w:color="auto"/>
            <w:right w:val="none" w:sz="0" w:space="0" w:color="auto"/>
          </w:divBdr>
        </w:div>
        <w:div w:id="1905138078">
          <w:marLeft w:val="547"/>
          <w:marRight w:val="0"/>
          <w:marTop w:val="0"/>
          <w:marBottom w:val="240"/>
          <w:divBdr>
            <w:top w:val="none" w:sz="0" w:space="0" w:color="auto"/>
            <w:left w:val="none" w:sz="0" w:space="0" w:color="auto"/>
            <w:bottom w:val="none" w:sz="0" w:space="0" w:color="auto"/>
            <w:right w:val="none" w:sz="0" w:space="0" w:color="auto"/>
          </w:divBdr>
        </w:div>
        <w:div w:id="210771281">
          <w:marLeft w:val="547"/>
          <w:marRight w:val="0"/>
          <w:marTop w:val="0"/>
          <w:marBottom w:val="240"/>
          <w:divBdr>
            <w:top w:val="none" w:sz="0" w:space="0" w:color="auto"/>
            <w:left w:val="none" w:sz="0" w:space="0" w:color="auto"/>
            <w:bottom w:val="none" w:sz="0" w:space="0" w:color="auto"/>
            <w:right w:val="none" w:sz="0" w:space="0" w:color="auto"/>
          </w:divBdr>
        </w:div>
        <w:div w:id="32509763">
          <w:marLeft w:val="547"/>
          <w:marRight w:val="0"/>
          <w:marTop w:val="0"/>
          <w:marBottom w:val="240"/>
          <w:divBdr>
            <w:top w:val="none" w:sz="0" w:space="0" w:color="auto"/>
            <w:left w:val="none" w:sz="0" w:space="0" w:color="auto"/>
            <w:bottom w:val="none" w:sz="0" w:space="0" w:color="auto"/>
            <w:right w:val="none" w:sz="0" w:space="0" w:color="auto"/>
          </w:divBdr>
        </w:div>
      </w:divsChild>
    </w:div>
    <w:div w:id="485977358">
      <w:bodyDiv w:val="1"/>
      <w:marLeft w:val="0"/>
      <w:marRight w:val="0"/>
      <w:marTop w:val="0"/>
      <w:marBottom w:val="0"/>
      <w:divBdr>
        <w:top w:val="none" w:sz="0" w:space="0" w:color="auto"/>
        <w:left w:val="none" w:sz="0" w:space="0" w:color="auto"/>
        <w:bottom w:val="none" w:sz="0" w:space="0" w:color="auto"/>
        <w:right w:val="none" w:sz="0" w:space="0" w:color="auto"/>
      </w:divBdr>
      <w:divsChild>
        <w:div w:id="1157529545">
          <w:marLeft w:val="547"/>
          <w:marRight w:val="0"/>
          <w:marTop w:val="0"/>
          <w:marBottom w:val="120"/>
          <w:divBdr>
            <w:top w:val="none" w:sz="0" w:space="0" w:color="auto"/>
            <w:left w:val="none" w:sz="0" w:space="0" w:color="auto"/>
            <w:bottom w:val="none" w:sz="0" w:space="0" w:color="auto"/>
            <w:right w:val="none" w:sz="0" w:space="0" w:color="auto"/>
          </w:divBdr>
        </w:div>
        <w:div w:id="2076665585">
          <w:marLeft w:val="547"/>
          <w:marRight w:val="0"/>
          <w:marTop w:val="0"/>
          <w:marBottom w:val="120"/>
          <w:divBdr>
            <w:top w:val="none" w:sz="0" w:space="0" w:color="auto"/>
            <w:left w:val="none" w:sz="0" w:space="0" w:color="auto"/>
            <w:bottom w:val="none" w:sz="0" w:space="0" w:color="auto"/>
            <w:right w:val="none" w:sz="0" w:space="0" w:color="auto"/>
          </w:divBdr>
        </w:div>
        <w:div w:id="1074938451">
          <w:marLeft w:val="547"/>
          <w:marRight w:val="0"/>
          <w:marTop w:val="0"/>
          <w:marBottom w:val="120"/>
          <w:divBdr>
            <w:top w:val="none" w:sz="0" w:space="0" w:color="auto"/>
            <w:left w:val="none" w:sz="0" w:space="0" w:color="auto"/>
            <w:bottom w:val="none" w:sz="0" w:space="0" w:color="auto"/>
            <w:right w:val="none" w:sz="0" w:space="0" w:color="auto"/>
          </w:divBdr>
        </w:div>
        <w:div w:id="759764357">
          <w:marLeft w:val="547"/>
          <w:marRight w:val="0"/>
          <w:marTop w:val="0"/>
          <w:marBottom w:val="120"/>
          <w:divBdr>
            <w:top w:val="none" w:sz="0" w:space="0" w:color="auto"/>
            <w:left w:val="none" w:sz="0" w:space="0" w:color="auto"/>
            <w:bottom w:val="none" w:sz="0" w:space="0" w:color="auto"/>
            <w:right w:val="none" w:sz="0" w:space="0" w:color="auto"/>
          </w:divBdr>
        </w:div>
      </w:divsChild>
    </w:div>
    <w:div w:id="502742809">
      <w:bodyDiv w:val="1"/>
      <w:marLeft w:val="0"/>
      <w:marRight w:val="0"/>
      <w:marTop w:val="0"/>
      <w:marBottom w:val="0"/>
      <w:divBdr>
        <w:top w:val="none" w:sz="0" w:space="0" w:color="auto"/>
        <w:left w:val="none" w:sz="0" w:space="0" w:color="auto"/>
        <w:bottom w:val="none" w:sz="0" w:space="0" w:color="auto"/>
        <w:right w:val="none" w:sz="0" w:space="0" w:color="auto"/>
      </w:divBdr>
      <w:divsChild>
        <w:div w:id="424886762">
          <w:marLeft w:val="547"/>
          <w:marRight w:val="0"/>
          <w:marTop w:val="0"/>
          <w:marBottom w:val="240"/>
          <w:divBdr>
            <w:top w:val="none" w:sz="0" w:space="0" w:color="auto"/>
            <w:left w:val="none" w:sz="0" w:space="0" w:color="auto"/>
            <w:bottom w:val="none" w:sz="0" w:space="0" w:color="auto"/>
            <w:right w:val="none" w:sz="0" w:space="0" w:color="auto"/>
          </w:divBdr>
        </w:div>
        <w:div w:id="260189486">
          <w:marLeft w:val="1166"/>
          <w:marRight w:val="0"/>
          <w:marTop w:val="0"/>
          <w:marBottom w:val="240"/>
          <w:divBdr>
            <w:top w:val="none" w:sz="0" w:space="0" w:color="auto"/>
            <w:left w:val="none" w:sz="0" w:space="0" w:color="auto"/>
            <w:bottom w:val="none" w:sz="0" w:space="0" w:color="auto"/>
            <w:right w:val="none" w:sz="0" w:space="0" w:color="auto"/>
          </w:divBdr>
        </w:div>
        <w:div w:id="2049913945">
          <w:marLeft w:val="1166"/>
          <w:marRight w:val="0"/>
          <w:marTop w:val="0"/>
          <w:marBottom w:val="240"/>
          <w:divBdr>
            <w:top w:val="none" w:sz="0" w:space="0" w:color="auto"/>
            <w:left w:val="none" w:sz="0" w:space="0" w:color="auto"/>
            <w:bottom w:val="none" w:sz="0" w:space="0" w:color="auto"/>
            <w:right w:val="none" w:sz="0" w:space="0" w:color="auto"/>
          </w:divBdr>
        </w:div>
        <w:div w:id="1799448107">
          <w:marLeft w:val="1166"/>
          <w:marRight w:val="0"/>
          <w:marTop w:val="0"/>
          <w:marBottom w:val="240"/>
          <w:divBdr>
            <w:top w:val="none" w:sz="0" w:space="0" w:color="auto"/>
            <w:left w:val="none" w:sz="0" w:space="0" w:color="auto"/>
            <w:bottom w:val="none" w:sz="0" w:space="0" w:color="auto"/>
            <w:right w:val="none" w:sz="0" w:space="0" w:color="auto"/>
          </w:divBdr>
        </w:div>
        <w:div w:id="1602954984">
          <w:marLeft w:val="547"/>
          <w:marRight w:val="0"/>
          <w:marTop w:val="0"/>
          <w:marBottom w:val="240"/>
          <w:divBdr>
            <w:top w:val="none" w:sz="0" w:space="0" w:color="auto"/>
            <w:left w:val="none" w:sz="0" w:space="0" w:color="auto"/>
            <w:bottom w:val="none" w:sz="0" w:space="0" w:color="auto"/>
            <w:right w:val="none" w:sz="0" w:space="0" w:color="auto"/>
          </w:divBdr>
        </w:div>
      </w:divsChild>
    </w:div>
    <w:div w:id="517239734">
      <w:bodyDiv w:val="1"/>
      <w:marLeft w:val="0"/>
      <w:marRight w:val="0"/>
      <w:marTop w:val="0"/>
      <w:marBottom w:val="0"/>
      <w:divBdr>
        <w:top w:val="none" w:sz="0" w:space="0" w:color="auto"/>
        <w:left w:val="none" w:sz="0" w:space="0" w:color="auto"/>
        <w:bottom w:val="none" w:sz="0" w:space="0" w:color="auto"/>
        <w:right w:val="none" w:sz="0" w:space="0" w:color="auto"/>
      </w:divBdr>
    </w:div>
    <w:div w:id="623969042">
      <w:bodyDiv w:val="1"/>
      <w:marLeft w:val="0"/>
      <w:marRight w:val="0"/>
      <w:marTop w:val="0"/>
      <w:marBottom w:val="0"/>
      <w:divBdr>
        <w:top w:val="none" w:sz="0" w:space="0" w:color="auto"/>
        <w:left w:val="none" w:sz="0" w:space="0" w:color="auto"/>
        <w:bottom w:val="none" w:sz="0" w:space="0" w:color="auto"/>
        <w:right w:val="none" w:sz="0" w:space="0" w:color="auto"/>
      </w:divBdr>
      <w:divsChild>
        <w:div w:id="537083442">
          <w:marLeft w:val="547"/>
          <w:marRight w:val="0"/>
          <w:marTop w:val="0"/>
          <w:marBottom w:val="120"/>
          <w:divBdr>
            <w:top w:val="none" w:sz="0" w:space="0" w:color="auto"/>
            <w:left w:val="none" w:sz="0" w:space="0" w:color="auto"/>
            <w:bottom w:val="none" w:sz="0" w:space="0" w:color="auto"/>
            <w:right w:val="none" w:sz="0" w:space="0" w:color="auto"/>
          </w:divBdr>
        </w:div>
        <w:div w:id="1576696126">
          <w:marLeft w:val="1166"/>
          <w:marRight w:val="0"/>
          <w:marTop w:val="0"/>
          <w:marBottom w:val="120"/>
          <w:divBdr>
            <w:top w:val="none" w:sz="0" w:space="0" w:color="auto"/>
            <w:left w:val="none" w:sz="0" w:space="0" w:color="auto"/>
            <w:bottom w:val="none" w:sz="0" w:space="0" w:color="auto"/>
            <w:right w:val="none" w:sz="0" w:space="0" w:color="auto"/>
          </w:divBdr>
        </w:div>
        <w:div w:id="1574704092">
          <w:marLeft w:val="1166"/>
          <w:marRight w:val="0"/>
          <w:marTop w:val="0"/>
          <w:marBottom w:val="120"/>
          <w:divBdr>
            <w:top w:val="none" w:sz="0" w:space="0" w:color="auto"/>
            <w:left w:val="none" w:sz="0" w:space="0" w:color="auto"/>
            <w:bottom w:val="none" w:sz="0" w:space="0" w:color="auto"/>
            <w:right w:val="none" w:sz="0" w:space="0" w:color="auto"/>
          </w:divBdr>
        </w:div>
        <w:div w:id="575752405">
          <w:marLeft w:val="1166"/>
          <w:marRight w:val="0"/>
          <w:marTop w:val="0"/>
          <w:marBottom w:val="120"/>
          <w:divBdr>
            <w:top w:val="none" w:sz="0" w:space="0" w:color="auto"/>
            <w:left w:val="none" w:sz="0" w:space="0" w:color="auto"/>
            <w:bottom w:val="none" w:sz="0" w:space="0" w:color="auto"/>
            <w:right w:val="none" w:sz="0" w:space="0" w:color="auto"/>
          </w:divBdr>
        </w:div>
        <w:div w:id="2067297121">
          <w:marLeft w:val="1166"/>
          <w:marRight w:val="0"/>
          <w:marTop w:val="0"/>
          <w:marBottom w:val="120"/>
          <w:divBdr>
            <w:top w:val="none" w:sz="0" w:space="0" w:color="auto"/>
            <w:left w:val="none" w:sz="0" w:space="0" w:color="auto"/>
            <w:bottom w:val="none" w:sz="0" w:space="0" w:color="auto"/>
            <w:right w:val="none" w:sz="0" w:space="0" w:color="auto"/>
          </w:divBdr>
        </w:div>
        <w:div w:id="802968678">
          <w:marLeft w:val="547"/>
          <w:marRight w:val="0"/>
          <w:marTop w:val="0"/>
          <w:marBottom w:val="120"/>
          <w:divBdr>
            <w:top w:val="none" w:sz="0" w:space="0" w:color="auto"/>
            <w:left w:val="none" w:sz="0" w:space="0" w:color="auto"/>
            <w:bottom w:val="none" w:sz="0" w:space="0" w:color="auto"/>
            <w:right w:val="none" w:sz="0" w:space="0" w:color="auto"/>
          </w:divBdr>
        </w:div>
        <w:div w:id="1538472573">
          <w:marLeft w:val="1166"/>
          <w:marRight w:val="0"/>
          <w:marTop w:val="0"/>
          <w:marBottom w:val="120"/>
          <w:divBdr>
            <w:top w:val="none" w:sz="0" w:space="0" w:color="auto"/>
            <w:left w:val="none" w:sz="0" w:space="0" w:color="auto"/>
            <w:bottom w:val="none" w:sz="0" w:space="0" w:color="auto"/>
            <w:right w:val="none" w:sz="0" w:space="0" w:color="auto"/>
          </w:divBdr>
        </w:div>
        <w:div w:id="1472751674">
          <w:marLeft w:val="1166"/>
          <w:marRight w:val="0"/>
          <w:marTop w:val="0"/>
          <w:marBottom w:val="120"/>
          <w:divBdr>
            <w:top w:val="none" w:sz="0" w:space="0" w:color="auto"/>
            <w:left w:val="none" w:sz="0" w:space="0" w:color="auto"/>
            <w:bottom w:val="none" w:sz="0" w:space="0" w:color="auto"/>
            <w:right w:val="none" w:sz="0" w:space="0" w:color="auto"/>
          </w:divBdr>
        </w:div>
      </w:divsChild>
    </w:div>
    <w:div w:id="763384911">
      <w:bodyDiv w:val="1"/>
      <w:marLeft w:val="0"/>
      <w:marRight w:val="0"/>
      <w:marTop w:val="0"/>
      <w:marBottom w:val="0"/>
      <w:divBdr>
        <w:top w:val="none" w:sz="0" w:space="0" w:color="auto"/>
        <w:left w:val="none" w:sz="0" w:space="0" w:color="auto"/>
        <w:bottom w:val="none" w:sz="0" w:space="0" w:color="auto"/>
        <w:right w:val="none" w:sz="0" w:space="0" w:color="auto"/>
      </w:divBdr>
      <w:divsChild>
        <w:div w:id="439032322">
          <w:marLeft w:val="547"/>
          <w:marRight w:val="0"/>
          <w:marTop w:val="134"/>
          <w:marBottom w:val="120"/>
          <w:divBdr>
            <w:top w:val="none" w:sz="0" w:space="0" w:color="auto"/>
            <w:left w:val="none" w:sz="0" w:space="0" w:color="auto"/>
            <w:bottom w:val="none" w:sz="0" w:space="0" w:color="auto"/>
            <w:right w:val="none" w:sz="0" w:space="0" w:color="auto"/>
          </w:divBdr>
        </w:div>
        <w:div w:id="1200434093">
          <w:marLeft w:val="547"/>
          <w:marRight w:val="0"/>
          <w:marTop w:val="134"/>
          <w:marBottom w:val="120"/>
          <w:divBdr>
            <w:top w:val="none" w:sz="0" w:space="0" w:color="auto"/>
            <w:left w:val="none" w:sz="0" w:space="0" w:color="auto"/>
            <w:bottom w:val="none" w:sz="0" w:space="0" w:color="auto"/>
            <w:right w:val="none" w:sz="0" w:space="0" w:color="auto"/>
          </w:divBdr>
        </w:div>
        <w:div w:id="101651442">
          <w:marLeft w:val="547"/>
          <w:marRight w:val="0"/>
          <w:marTop w:val="134"/>
          <w:marBottom w:val="120"/>
          <w:divBdr>
            <w:top w:val="none" w:sz="0" w:space="0" w:color="auto"/>
            <w:left w:val="none" w:sz="0" w:space="0" w:color="auto"/>
            <w:bottom w:val="none" w:sz="0" w:space="0" w:color="auto"/>
            <w:right w:val="none" w:sz="0" w:space="0" w:color="auto"/>
          </w:divBdr>
        </w:div>
      </w:divsChild>
    </w:div>
    <w:div w:id="871503029">
      <w:bodyDiv w:val="1"/>
      <w:marLeft w:val="0"/>
      <w:marRight w:val="0"/>
      <w:marTop w:val="0"/>
      <w:marBottom w:val="0"/>
      <w:divBdr>
        <w:top w:val="none" w:sz="0" w:space="0" w:color="auto"/>
        <w:left w:val="none" w:sz="0" w:space="0" w:color="auto"/>
        <w:bottom w:val="none" w:sz="0" w:space="0" w:color="auto"/>
        <w:right w:val="none" w:sz="0" w:space="0" w:color="auto"/>
      </w:divBdr>
    </w:div>
    <w:div w:id="953944833">
      <w:bodyDiv w:val="1"/>
      <w:marLeft w:val="0"/>
      <w:marRight w:val="0"/>
      <w:marTop w:val="0"/>
      <w:marBottom w:val="0"/>
      <w:divBdr>
        <w:top w:val="none" w:sz="0" w:space="0" w:color="auto"/>
        <w:left w:val="none" w:sz="0" w:space="0" w:color="auto"/>
        <w:bottom w:val="none" w:sz="0" w:space="0" w:color="auto"/>
        <w:right w:val="none" w:sz="0" w:space="0" w:color="auto"/>
      </w:divBdr>
      <w:divsChild>
        <w:div w:id="1797404050">
          <w:marLeft w:val="547"/>
          <w:marRight w:val="0"/>
          <w:marTop w:val="0"/>
          <w:marBottom w:val="0"/>
          <w:divBdr>
            <w:top w:val="none" w:sz="0" w:space="0" w:color="auto"/>
            <w:left w:val="none" w:sz="0" w:space="0" w:color="auto"/>
            <w:bottom w:val="none" w:sz="0" w:space="0" w:color="auto"/>
            <w:right w:val="none" w:sz="0" w:space="0" w:color="auto"/>
          </w:divBdr>
        </w:div>
        <w:div w:id="1311669834">
          <w:marLeft w:val="547"/>
          <w:marRight w:val="0"/>
          <w:marTop w:val="0"/>
          <w:marBottom w:val="0"/>
          <w:divBdr>
            <w:top w:val="none" w:sz="0" w:space="0" w:color="auto"/>
            <w:left w:val="none" w:sz="0" w:space="0" w:color="auto"/>
            <w:bottom w:val="none" w:sz="0" w:space="0" w:color="auto"/>
            <w:right w:val="none" w:sz="0" w:space="0" w:color="auto"/>
          </w:divBdr>
        </w:div>
        <w:div w:id="460467199">
          <w:marLeft w:val="547"/>
          <w:marRight w:val="0"/>
          <w:marTop w:val="0"/>
          <w:marBottom w:val="0"/>
          <w:divBdr>
            <w:top w:val="none" w:sz="0" w:space="0" w:color="auto"/>
            <w:left w:val="none" w:sz="0" w:space="0" w:color="auto"/>
            <w:bottom w:val="none" w:sz="0" w:space="0" w:color="auto"/>
            <w:right w:val="none" w:sz="0" w:space="0" w:color="auto"/>
          </w:divBdr>
        </w:div>
        <w:div w:id="1563755390">
          <w:marLeft w:val="547"/>
          <w:marRight w:val="0"/>
          <w:marTop w:val="0"/>
          <w:marBottom w:val="0"/>
          <w:divBdr>
            <w:top w:val="none" w:sz="0" w:space="0" w:color="auto"/>
            <w:left w:val="none" w:sz="0" w:space="0" w:color="auto"/>
            <w:bottom w:val="none" w:sz="0" w:space="0" w:color="auto"/>
            <w:right w:val="none" w:sz="0" w:space="0" w:color="auto"/>
          </w:divBdr>
        </w:div>
        <w:div w:id="282734736">
          <w:marLeft w:val="547"/>
          <w:marRight w:val="0"/>
          <w:marTop w:val="0"/>
          <w:marBottom w:val="0"/>
          <w:divBdr>
            <w:top w:val="none" w:sz="0" w:space="0" w:color="auto"/>
            <w:left w:val="none" w:sz="0" w:space="0" w:color="auto"/>
            <w:bottom w:val="none" w:sz="0" w:space="0" w:color="auto"/>
            <w:right w:val="none" w:sz="0" w:space="0" w:color="auto"/>
          </w:divBdr>
        </w:div>
        <w:div w:id="1938752375">
          <w:marLeft w:val="547"/>
          <w:marRight w:val="0"/>
          <w:marTop w:val="0"/>
          <w:marBottom w:val="0"/>
          <w:divBdr>
            <w:top w:val="none" w:sz="0" w:space="0" w:color="auto"/>
            <w:left w:val="none" w:sz="0" w:space="0" w:color="auto"/>
            <w:bottom w:val="none" w:sz="0" w:space="0" w:color="auto"/>
            <w:right w:val="none" w:sz="0" w:space="0" w:color="auto"/>
          </w:divBdr>
        </w:div>
        <w:div w:id="1367365368">
          <w:marLeft w:val="547"/>
          <w:marRight w:val="0"/>
          <w:marTop w:val="0"/>
          <w:marBottom w:val="0"/>
          <w:divBdr>
            <w:top w:val="none" w:sz="0" w:space="0" w:color="auto"/>
            <w:left w:val="none" w:sz="0" w:space="0" w:color="auto"/>
            <w:bottom w:val="none" w:sz="0" w:space="0" w:color="auto"/>
            <w:right w:val="none" w:sz="0" w:space="0" w:color="auto"/>
          </w:divBdr>
        </w:div>
        <w:div w:id="1143035740">
          <w:marLeft w:val="547"/>
          <w:marRight w:val="0"/>
          <w:marTop w:val="0"/>
          <w:marBottom w:val="0"/>
          <w:divBdr>
            <w:top w:val="none" w:sz="0" w:space="0" w:color="auto"/>
            <w:left w:val="none" w:sz="0" w:space="0" w:color="auto"/>
            <w:bottom w:val="none" w:sz="0" w:space="0" w:color="auto"/>
            <w:right w:val="none" w:sz="0" w:space="0" w:color="auto"/>
          </w:divBdr>
        </w:div>
        <w:div w:id="370613752">
          <w:marLeft w:val="547"/>
          <w:marRight w:val="0"/>
          <w:marTop w:val="0"/>
          <w:marBottom w:val="0"/>
          <w:divBdr>
            <w:top w:val="none" w:sz="0" w:space="0" w:color="auto"/>
            <w:left w:val="none" w:sz="0" w:space="0" w:color="auto"/>
            <w:bottom w:val="none" w:sz="0" w:space="0" w:color="auto"/>
            <w:right w:val="none" w:sz="0" w:space="0" w:color="auto"/>
          </w:divBdr>
        </w:div>
        <w:div w:id="1268123960">
          <w:marLeft w:val="547"/>
          <w:marRight w:val="0"/>
          <w:marTop w:val="0"/>
          <w:marBottom w:val="0"/>
          <w:divBdr>
            <w:top w:val="none" w:sz="0" w:space="0" w:color="auto"/>
            <w:left w:val="none" w:sz="0" w:space="0" w:color="auto"/>
            <w:bottom w:val="none" w:sz="0" w:space="0" w:color="auto"/>
            <w:right w:val="none" w:sz="0" w:space="0" w:color="auto"/>
          </w:divBdr>
        </w:div>
      </w:divsChild>
    </w:div>
    <w:div w:id="1091781771">
      <w:bodyDiv w:val="1"/>
      <w:marLeft w:val="0"/>
      <w:marRight w:val="0"/>
      <w:marTop w:val="0"/>
      <w:marBottom w:val="0"/>
      <w:divBdr>
        <w:top w:val="none" w:sz="0" w:space="0" w:color="auto"/>
        <w:left w:val="none" w:sz="0" w:space="0" w:color="auto"/>
        <w:bottom w:val="none" w:sz="0" w:space="0" w:color="auto"/>
        <w:right w:val="none" w:sz="0" w:space="0" w:color="auto"/>
      </w:divBdr>
      <w:divsChild>
        <w:div w:id="1920015774">
          <w:marLeft w:val="547"/>
          <w:marRight w:val="0"/>
          <w:marTop w:val="0"/>
          <w:marBottom w:val="360"/>
          <w:divBdr>
            <w:top w:val="none" w:sz="0" w:space="0" w:color="auto"/>
            <w:left w:val="none" w:sz="0" w:space="0" w:color="auto"/>
            <w:bottom w:val="none" w:sz="0" w:space="0" w:color="auto"/>
            <w:right w:val="none" w:sz="0" w:space="0" w:color="auto"/>
          </w:divBdr>
        </w:div>
        <w:div w:id="1357850040">
          <w:marLeft w:val="547"/>
          <w:marRight w:val="0"/>
          <w:marTop w:val="0"/>
          <w:marBottom w:val="360"/>
          <w:divBdr>
            <w:top w:val="none" w:sz="0" w:space="0" w:color="auto"/>
            <w:left w:val="none" w:sz="0" w:space="0" w:color="auto"/>
            <w:bottom w:val="none" w:sz="0" w:space="0" w:color="auto"/>
            <w:right w:val="none" w:sz="0" w:space="0" w:color="auto"/>
          </w:divBdr>
        </w:div>
        <w:div w:id="10189667">
          <w:marLeft w:val="547"/>
          <w:marRight w:val="0"/>
          <w:marTop w:val="0"/>
          <w:marBottom w:val="360"/>
          <w:divBdr>
            <w:top w:val="none" w:sz="0" w:space="0" w:color="auto"/>
            <w:left w:val="none" w:sz="0" w:space="0" w:color="auto"/>
            <w:bottom w:val="none" w:sz="0" w:space="0" w:color="auto"/>
            <w:right w:val="none" w:sz="0" w:space="0" w:color="auto"/>
          </w:divBdr>
        </w:div>
        <w:div w:id="856189851">
          <w:marLeft w:val="547"/>
          <w:marRight w:val="0"/>
          <w:marTop w:val="0"/>
          <w:marBottom w:val="360"/>
          <w:divBdr>
            <w:top w:val="none" w:sz="0" w:space="0" w:color="auto"/>
            <w:left w:val="none" w:sz="0" w:space="0" w:color="auto"/>
            <w:bottom w:val="none" w:sz="0" w:space="0" w:color="auto"/>
            <w:right w:val="none" w:sz="0" w:space="0" w:color="auto"/>
          </w:divBdr>
        </w:div>
      </w:divsChild>
    </w:div>
    <w:div w:id="1149595847">
      <w:bodyDiv w:val="1"/>
      <w:marLeft w:val="0"/>
      <w:marRight w:val="0"/>
      <w:marTop w:val="0"/>
      <w:marBottom w:val="0"/>
      <w:divBdr>
        <w:top w:val="none" w:sz="0" w:space="0" w:color="auto"/>
        <w:left w:val="none" w:sz="0" w:space="0" w:color="auto"/>
        <w:bottom w:val="none" w:sz="0" w:space="0" w:color="auto"/>
        <w:right w:val="none" w:sz="0" w:space="0" w:color="auto"/>
      </w:divBdr>
    </w:div>
    <w:div w:id="1151409390">
      <w:bodyDiv w:val="1"/>
      <w:marLeft w:val="0"/>
      <w:marRight w:val="0"/>
      <w:marTop w:val="0"/>
      <w:marBottom w:val="0"/>
      <w:divBdr>
        <w:top w:val="none" w:sz="0" w:space="0" w:color="auto"/>
        <w:left w:val="none" w:sz="0" w:space="0" w:color="auto"/>
        <w:bottom w:val="none" w:sz="0" w:space="0" w:color="auto"/>
        <w:right w:val="none" w:sz="0" w:space="0" w:color="auto"/>
      </w:divBdr>
      <w:divsChild>
        <w:div w:id="875196119">
          <w:marLeft w:val="634"/>
          <w:marRight w:val="0"/>
          <w:marTop w:val="0"/>
          <w:marBottom w:val="240"/>
          <w:divBdr>
            <w:top w:val="none" w:sz="0" w:space="0" w:color="auto"/>
            <w:left w:val="none" w:sz="0" w:space="0" w:color="auto"/>
            <w:bottom w:val="none" w:sz="0" w:space="0" w:color="auto"/>
            <w:right w:val="none" w:sz="0" w:space="0" w:color="auto"/>
          </w:divBdr>
        </w:div>
      </w:divsChild>
    </w:div>
    <w:div w:id="1210259652">
      <w:bodyDiv w:val="1"/>
      <w:marLeft w:val="0"/>
      <w:marRight w:val="0"/>
      <w:marTop w:val="0"/>
      <w:marBottom w:val="0"/>
      <w:divBdr>
        <w:top w:val="none" w:sz="0" w:space="0" w:color="auto"/>
        <w:left w:val="none" w:sz="0" w:space="0" w:color="auto"/>
        <w:bottom w:val="none" w:sz="0" w:space="0" w:color="auto"/>
        <w:right w:val="none" w:sz="0" w:space="0" w:color="auto"/>
      </w:divBdr>
      <w:divsChild>
        <w:div w:id="256986678">
          <w:marLeft w:val="547"/>
          <w:marRight w:val="0"/>
          <w:marTop w:val="0"/>
          <w:marBottom w:val="120"/>
          <w:divBdr>
            <w:top w:val="none" w:sz="0" w:space="0" w:color="auto"/>
            <w:left w:val="none" w:sz="0" w:space="0" w:color="auto"/>
            <w:bottom w:val="none" w:sz="0" w:space="0" w:color="auto"/>
            <w:right w:val="none" w:sz="0" w:space="0" w:color="auto"/>
          </w:divBdr>
        </w:div>
        <w:div w:id="1163472070">
          <w:marLeft w:val="547"/>
          <w:marRight w:val="0"/>
          <w:marTop w:val="0"/>
          <w:marBottom w:val="120"/>
          <w:divBdr>
            <w:top w:val="none" w:sz="0" w:space="0" w:color="auto"/>
            <w:left w:val="none" w:sz="0" w:space="0" w:color="auto"/>
            <w:bottom w:val="none" w:sz="0" w:space="0" w:color="auto"/>
            <w:right w:val="none" w:sz="0" w:space="0" w:color="auto"/>
          </w:divBdr>
        </w:div>
        <w:div w:id="624509927">
          <w:marLeft w:val="547"/>
          <w:marRight w:val="0"/>
          <w:marTop w:val="0"/>
          <w:marBottom w:val="120"/>
          <w:divBdr>
            <w:top w:val="none" w:sz="0" w:space="0" w:color="auto"/>
            <w:left w:val="none" w:sz="0" w:space="0" w:color="auto"/>
            <w:bottom w:val="none" w:sz="0" w:space="0" w:color="auto"/>
            <w:right w:val="none" w:sz="0" w:space="0" w:color="auto"/>
          </w:divBdr>
        </w:div>
        <w:div w:id="1757896575">
          <w:marLeft w:val="547"/>
          <w:marRight w:val="0"/>
          <w:marTop w:val="0"/>
          <w:marBottom w:val="120"/>
          <w:divBdr>
            <w:top w:val="none" w:sz="0" w:space="0" w:color="auto"/>
            <w:left w:val="none" w:sz="0" w:space="0" w:color="auto"/>
            <w:bottom w:val="none" w:sz="0" w:space="0" w:color="auto"/>
            <w:right w:val="none" w:sz="0" w:space="0" w:color="auto"/>
          </w:divBdr>
        </w:div>
        <w:div w:id="290283922">
          <w:marLeft w:val="547"/>
          <w:marRight w:val="0"/>
          <w:marTop w:val="0"/>
          <w:marBottom w:val="120"/>
          <w:divBdr>
            <w:top w:val="none" w:sz="0" w:space="0" w:color="auto"/>
            <w:left w:val="none" w:sz="0" w:space="0" w:color="auto"/>
            <w:bottom w:val="none" w:sz="0" w:space="0" w:color="auto"/>
            <w:right w:val="none" w:sz="0" w:space="0" w:color="auto"/>
          </w:divBdr>
        </w:div>
      </w:divsChild>
    </w:div>
    <w:div w:id="1431123872">
      <w:bodyDiv w:val="1"/>
      <w:marLeft w:val="0"/>
      <w:marRight w:val="0"/>
      <w:marTop w:val="0"/>
      <w:marBottom w:val="0"/>
      <w:divBdr>
        <w:top w:val="none" w:sz="0" w:space="0" w:color="auto"/>
        <w:left w:val="none" w:sz="0" w:space="0" w:color="auto"/>
        <w:bottom w:val="none" w:sz="0" w:space="0" w:color="auto"/>
        <w:right w:val="none" w:sz="0" w:space="0" w:color="auto"/>
      </w:divBdr>
    </w:div>
    <w:div w:id="1478839027">
      <w:bodyDiv w:val="1"/>
      <w:marLeft w:val="0"/>
      <w:marRight w:val="0"/>
      <w:marTop w:val="0"/>
      <w:marBottom w:val="0"/>
      <w:divBdr>
        <w:top w:val="none" w:sz="0" w:space="0" w:color="auto"/>
        <w:left w:val="none" w:sz="0" w:space="0" w:color="auto"/>
        <w:bottom w:val="none" w:sz="0" w:space="0" w:color="auto"/>
        <w:right w:val="none" w:sz="0" w:space="0" w:color="auto"/>
      </w:divBdr>
      <w:divsChild>
        <w:div w:id="1546330873">
          <w:marLeft w:val="547"/>
          <w:marRight w:val="0"/>
          <w:marTop w:val="0"/>
          <w:marBottom w:val="240"/>
          <w:divBdr>
            <w:top w:val="none" w:sz="0" w:space="0" w:color="auto"/>
            <w:left w:val="none" w:sz="0" w:space="0" w:color="auto"/>
            <w:bottom w:val="none" w:sz="0" w:space="0" w:color="auto"/>
            <w:right w:val="none" w:sz="0" w:space="0" w:color="auto"/>
          </w:divBdr>
        </w:div>
        <w:div w:id="123158411">
          <w:marLeft w:val="547"/>
          <w:marRight w:val="0"/>
          <w:marTop w:val="0"/>
          <w:marBottom w:val="240"/>
          <w:divBdr>
            <w:top w:val="none" w:sz="0" w:space="0" w:color="auto"/>
            <w:left w:val="none" w:sz="0" w:space="0" w:color="auto"/>
            <w:bottom w:val="none" w:sz="0" w:space="0" w:color="auto"/>
            <w:right w:val="none" w:sz="0" w:space="0" w:color="auto"/>
          </w:divBdr>
        </w:div>
        <w:div w:id="1355958151">
          <w:marLeft w:val="547"/>
          <w:marRight w:val="0"/>
          <w:marTop w:val="0"/>
          <w:marBottom w:val="240"/>
          <w:divBdr>
            <w:top w:val="none" w:sz="0" w:space="0" w:color="auto"/>
            <w:left w:val="none" w:sz="0" w:space="0" w:color="auto"/>
            <w:bottom w:val="none" w:sz="0" w:space="0" w:color="auto"/>
            <w:right w:val="none" w:sz="0" w:space="0" w:color="auto"/>
          </w:divBdr>
        </w:div>
        <w:div w:id="1521508304">
          <w:marLeft w:val="547"/>
          <w:marRight w:val="0"/>
          <w:marTop w:val="0"/>
          <w:marBottom w:val="240"/>
          <w:divBdr>
            <w:top w:val="none" w:sz="0" w:space="0" w:color="auto"/>
            <w:left w:val="none" w:sz="0" w:space="0" w:color="auto"/>
            <w:bottom w:val="none" w:sz="0" w:space="0" w:color="auto"/>
            <w:right w:val="none" w:sz="0" w:space="0" w:color="auto"/>
          </w:divBdr>
        </w:div>
      </w:divsChild>
    </w:div>
    <w:div w:id="1507598312">
      <w:bodyDiv w:val="1"/>
      <w:marLeft w:val="0"/>
      <w:marRight w:val="0"/>
      <w:marTop w:val="0"/>
      <w:marBottom w:val="0"/>
      <w:divBdr>
        <w:top w:val="none" w:sz="0" w:space="0" w:color="auto"/>
        <w:left w:val="none" w:sz="0" w:space="0" w:color="auto"/>
        <w:bottom w:val="none" w:sz="0" w:space="0" w:color="auto"/>
        <w:right w:val="none" w:sz="0" w:space="0" w:color="auto"/>
      </w:divBdr>
      <w:divsChild>
        <w:div w:id="634213362">
          <w:marLeft w:val="547"/>
          <w:marRight w:val="0"/>
          <w:marTop w:val="0"/>
          <w:marBottom w:val="120"/>
          <w:divBdr>
            <w:top w:val="none" w:sz="0" w:space="0" w:color="auto"/>
            <w:left w:val="none" w:sz="0" w:space="0" w:color="auto"/>
            <w:bottom w:val="none" w:sz="0" w:space="0" w:color="auto"/>
            <w:right w:val="none" w:sz="0" w:space="0" w:color="auto"/>
          </w:divBdr>
        </w:div>
        <w:div w:id="1725135962">
          <w:marLeft w:val="547"/>
          <w:marRight w:val="0"/>
          <w:marTop w:val="0"/>
          <w:marBottom w:val="120"/>
          <w:divBdr>
            <w:top w:val="none" w:sz="0" w:space="0" w:color="auto"/>
            <w:left w:val="none" w:sz="0" w:space="0" w:color="auto"/>
            <w:bottom w:val="none" w:sz="0" w:space="0" w:color="auto"/>
            <w:right w:val="none" w:sz="0" w:space="0" w:color="auto"/>
          </w:divBdr>
        </w:div>
        <w:div w:id="1235816179">
          <w:marLeft w:val="547"/>
          <w:marRight w:val="0"/>
          <w:marTop w:val="0"/>
          <w:marBottom w:val="120"/>
          <w:divBdr>
            <w:top w:val="none" w:sz="0" w:space="0" w:color="auto"/>
            <w:left w:val="none" w:sz="0" w:space="0" w:color="auto"/>
            <w:bottom w:val="none" w:sz="0" w:space="0" w:color="auto"/>
            <w:right w:val="none" w:sz="0" w:space="0" w:color="auto"/>
          </w:divBdr>
        </w:div>
        <w:div w:id="655914744">
          <w:marLeft w:val="547"/>
          <w:marRight w:val="0"/>
          <w:marTop w:val="0"/>
          <w:marBottom w:val="120"/>
          <w:divBdr>
            <w:top w:val="none" w:sz="0" w:space="0" w:color="auto"/>
            <w:left w:val="none" w:sz="0" w:space="0" w:color="auto"/>
            <w:bottom w:val="none" w:sz="0" w:space="0" w:color="auto"/>
            <w:right w:val="none" w:sz="0" w:space="0" w:color="auto"/>
          </w:divBdr>
        </w:div>
        <w:div w:id="1182663789">
          <w:marLeft w:val="547"/>
          <w:marRight w:val="0"/>
          <w:marTop w:val="0"/>
          <w:marBottom w:val="120"/>
          <w:divBdr>
            <w:top w:val="none" w:sz="0" w:space="0" w:color="auto"/>
            <w:left w:val="none" w:sz="0" w:space="0" w:color="auto"/>
            <w:bottom w:val="none" w:sz="0" w:space="0" w:color="auto"/>
            <w:right w:val="none" w:sz="0" w:space="0" w:color="auto"/>
          </w:divBdr>
        </w:div>
        <w:div w:id="377513421">
          <w:marLeft w:val="547"/>
          <w:marRight w:val="0"/>
          <w:marTop w:val="0"/>
          <w:marBottom w:val="120"/>
          <w:divBdr>
            <w:top w:val="none" w:sz="0" w:space="0" w:color="auto"/>
            <w:left w:val="none" w:sz="0" w:space="0" w:color="auto"/>
            <w:bottom w:val="none" w:sz="0" w:space="0" w:color="auto"/>
            <w:right w:val="none" w:sz="0" w:space="0" w:color="auto"/>
          </w:divBdr>
        </w:div>
        <w:div w:id="1277181050">
          <w:marLeft w:val="547"/>
          <w:marRight w:val="0"/>
          <w:marTop w:val="0"/>
          <w:marBottom w:val="120"/>
          <w:divBdr>
            <w:top w:val="none" w:sz="0" w:space="0" w:color="auto"/>
            <w:left w:val="none" w:sz="0" w:space="0" w:color="auto"/>
            <w:bottom w:val="none" w:sz="0" w:space="0" w:color="auto"/>
            <w:right w:val="none" w:sz="0" w:space="0" w:color="auto"/>
          </w:divBdr>
        </w:div>
        <w:div w:id="937907805">
          <w:marLeft w:val="547"/>
          <w:marRight w:val="0"/>
          <w:marTop w:val="0"/>
          <w:marBottom w:val="120"/>
          <w:divBdr>
            <w:top w:val="none" w:sz="0" w:space="0" w:color="auto"/>
            <w:left w:val="none" w:sz="0" w:space="0" w:color="auto"/>
            <w:bottom w:val="none" w:sz="0" w:space="0" w:color="auto"/>
            <w:right w:val="none" w:sz="0" w:space="0" w:color="auto"/>
          </w:divBdr>
        </w:div>
      </w:divsChild>
    </w:div>
    <w:div w:id="1524128672">
      <w:bodyDiv w:val="1"/>
      <w:marLeft w:val="0"/>
      <w:marRight w:val="0"/>
      <w:marTop w:val="0"/>
      <w:marBottom w:val="0"/>
      <w:divBdr>
        <w:top w:val="none" w:sz="0" w:space="0" w:color="auto"/>
        <w:left w:val="none" w:sz="0" w:space="0" w:color="auto"/>
        <w:bottom w:val="none" w:sz="0" w:space="0" w:color="auto"/>
        <w:right w:val="none" w:sz="0" w:space="0" w:color="auto"/>
      </w:divBdr>
      <w:divsChild>
        <w:div w:id="2102949462">
          <w:marLeft w:val="547"/>
          <w:marRight w:val="0"/>
          <w:marTop w:val="0"/>
          <w:marBottom w:val="240"/>
          <w:divBdr>
            <w:top w:val="none" w:sz="0" w:space="0" w:color="auto"/>
            <w:left w:val="none" w:sz="0" w:space="0" w:color="auto"/>
            <w:bottom w:val="none" w:sz="0" w:space="0" w:color="auto"/>
            <w:right w:val="none" w:sz="0" w:space="0" w:color="auto"/>
          </w:divBdr>
        </w:div>
        <w:div w:id="735325713">
          <w:marLeft w:val="547"/>
          <w:marRight w:val="0"/>
          <w:marTop w:val="0"/>
          <w:marBottom w:val="240"/>
          <w:divBdr>
            <w:top w:val="none" w:sz="0" w:space="0" w:color="auto"/>
            <w:left w:val="none" w:sz="0" w:space="0" w:color="auto"/>
            <w:bottom w:val="none" w:sz="0" w:space="0" w:color="auto"/>
            <w:right w:val="none" w:sz="0" w:space="0" w:color="auto"/>
          </w:divBdr>
        </w:div>
        <w:div w:id="981664986">
          <w:marLeft w:val="547"/>
          <w:marRight w:val="0"/>
          <w:marTop w:val="0"/>
          <w:marBottom w:val="240"/>
          <w:divBdr>
            <w:top w:val="none" w:sz="0" w:space="0" w:color="auto"/>
            <w:left w:val="none" w:sz="0" w:space="0" w:color="auto"/>
            <w:bottom w:val="none" w:sz="0" w:space="0" w:color="auto"/>
            <w:right w:val="none" w:sz="0" w:space="0" w:color="auto"/>
          </w:divBdr>
        </w:div>
        <w:div w:id="733965483">
          <w:marLeft w:val="547"/>
          <w:marRight w:val="0"/>
          <w:marTop w:val="0"/>
          <w:marBottom w:val="240"/>
          <w:divBdr>
            <w:top w:val="none" w:sz="0" w:space="0" w:color="auto"/>
            <w:left w:val="none" w:sz="0" w:space="0" w:color="auto"/>
            <w:bottom w:val="none" w:sz="0" w:space="0" w:color="auto"/>
            <w:right w:val="none" w:sz="0" w:space="0" w:color="auto"/>
          </w:divBdr>
        </w:div>
        <w:div w:id="1201866889">
          <w:marLeft w:val="547"/>
          <w:marRight w:val="0"/>
          <w:marTop w:val="0"/>
          <w:marBottom w:val="240"/>
          <w:divBdr>
            <w:top w:val="none" w:sz="0" w:space="0" w:color="auto"/>
            <w:left w:val="none" w:sz="0" w:space="0" w:color="auto"/>
            <w:bottom w:val="none" w:sz="0" w:space="0" w:color="auto"/>
            <w:right w:val="none" w:sz="0" w:space="0" w:color="auto"/>
          </w:divBdr>
        </w:div>
        <w:div w:id="1922636254">
          <w:marLeft w:val="547"/>
          <w:marRight w:val="0"/>
          <w:marTop w:val="0"/>
          <w:marBottom w:val="240"/>
          <w:divBdr>
            <w:top w:val="none" w:sz="0" w:space="0" w:color="auto"/>
            <w:left w:val="none" w:sz="0" w:space="0" w:color="auto"/>
            <w:bottom w:val="none" w:sz="0" w:space="0" w:color="auto"/>
            <w:right w:val="none" w:sz="0" w:space="0" w:color="auto"/>
          </w:divBdr>
        </w:div>
      </w:divsChild>
    </w:div>
    <w:div w:id="1628774210">
      <w:bodyDiv w:val="1"/>
      <w:marLeft w:val="0"/>
      <w:marRight w:val="0"/>
      <w:marTop w:val="0"/>
      <w:marBottom w:val="0"/>
      <w:divBdr>
        <w:top w:val="none" w:sz="0" w:space="0" w:color="auto"/>
        <w:left w:val="none" w:sz="0" w:space="0" w:color="auto"/>
        <w:bottom w:val="none" w:sz="0" w:space="0" w:color="auto"/>
        <w:right w:val="none" w:sz="0" w:space="0" w:color="auto"/>
      </w:divBdr>
      <w:divsChild>
        <w:div w:id="2091654341">
          <w:marLeft w:val="547"/>
          <w:marRight w:val="0"/>
          <w:marTop w:val="0"/>
          <w:marBottom w:val="120"/>
          <w:divBdr>
            <w:top w:val="none" w:sz="0" w:space="0" w:color="auto"/>
            <w:left w:val="none" w:sz="0" w:space="0" w:color="auto"/>
            <w:bottom w:val="none" w:sz="0" w:space="0" w:color="auto"/>
            <w:right w:val="none" w:sz="0" w:space="0" w:color="auto"/>
          </w:divBdr>
        </w:div>
        <w:div w:id="43608243">
          <w:marLeft w:val="547"/>
          <w:marRight w:val="0"/>
          <w:marTop w:val="0"/>
          <w:marBottom w:val="120"/>
          <w:divBdr>
            <w:top w:val="none" w:sz="0" w:space="0" w:color="auto"/>
            <w:left w:val="none" w:sz="0" w:space="0" w:color="auto"/>
            <w:bottom w:val="none" w:sz="0" w:space="0" w:color="auto"/>
            <w:right w:val="none" w:sz="0" w:space="0" w:color="auto"/>
          </w:divBdr>
        </w:div>
        <w:div w:id="1772505594">
          <w:marLeft w:val="547"/>
          <w:marRight w:val="0"/>
          <w:marTop w:val="0"/>
          <w:marBottom w:val="120"/>
          <w:divBdr>
            <w:top w:val="none" w:sz="0" w:space="0" w:color="auto"/>
            <w:left w:val="none" w:sz="0" w:space="0" w:color="auto"/>
            <w:bottom w:val="none" w:sz="0" w:space="0" w:color="auto"/>
            <w:right w:val="none" w:sz="0" w:space="0" w:color="auto"/>
          </w:divBdr>
        </w:div>
        <w:div w:id="1090547267">
          <w:marLeft w:val="547"/>
          <w:marRight w:val="0"/>
          <w:marTop w:val="0"/>
          <w:marBottom w:val="120"/>
          <w:divBdr>
            <w:top w:val="none" w:sz="0" w:space="0" w:color="auto"/>
            <w:left w:val="none" w:sz="0" w:space="0" w:color="auto"/>
            <w:bottom w:val="none" w:sz="0" w:space="0" w:color="auto"/>
            <w:right w:val="none" w:sz="0" w:space="0" w:color="auto"/>
          </w:divBdr>
        </w:div>
        <w:div w:id="363167542">
          <w:marLeft w:val="547"/>
          <w:marRight w:val="0"/>
          <w:marTop w:val="0"/>
          <w:marBottom w:val="120"/>
          <w:divBdr>
            <w:top w:val="none" w:sz="0" w:space="0" w:color="auto"/>
            <w:left w:val="none" w:sz="0" w:space="0" w:color="auto"/>
            <w:bottom w:val="none" w:sz="0" w:space="0" w:color="auto"/>
            <w:right w:val="none" w:sz="0" w:space="0" w:color="auto"/>
          </w:divBdr>
        </w:div>
      </w:divsChild>
    </w:div>
    <w:div w:id="1655791405">
      <w:bodyDiv w:val="1"/>
      <w:marLeft w:val="0"/>
      <w:marRight w:val="0"/>
      <w:marTop w:val="0"/>
      <w:marBottom w:val="0"/>
      <w:divBdr>
        <w:top w:val="none" w:sz="0" w:space="0" w:color="auto"/>
        <w:left w:val="none" w:sz="0" w:space="0" w:color="auto"/>
        <w:bottom w:val="none" w:sz="0" w:space="0" w:color="auto"/>
        <w:right w:val="none" w:sz="0" w:space="0" w:color="auto"/>
      </w:divBdr>
      <w:divsChild>
        <w:div w:id="415328153">
          <w:marLeft w:val="547"/>
          <w:marRight w:val="0"/>
          <w:marTop w:val="0"/>
          <w:marBottom w:val="240"/>
          <w:divBdr>
            <w:top w:val="none" w:sz="0" w:space="0" w:color="auto"/>
            <w:left w:val="none" w:sz="0" w:space="0" w:color="auto"/>
            <w:bottom w:val="none" w:sz="0" w:space="0" w:color="auto"/>
            <w:right w:val="none" w:sz="0" w:space="0" w:color="auto"/>
          </w:divBdr>
        </w:div>
        <w:div w:id="1754425051">
          <w:marLeft w:val="547"/>
          <w:marRight w:val="0"/>
          <w:marTop w:val="0"/>
          <w:marBottom w:val="240"/>
          <w:divBdr>
            <w:top w:val="none" w:sz="0" w:space="0" w:color="auto"/>
            <w:left w:val="none" w:sz="0" w:space="0" w:color="auto"/>
            <w:bottom w:val="none" w:sz="0" w:space="0" w:color="auto"/>
            <w:right w:val="none" w:sz="0" w:space="0" w:color="auto"/>
          </w:divBdr>
        </w:div>
        <w:div w:id="214438441">
          <w:marLeft w:val="1166"/>
          <w:marRight w:val="0"/>
          <w:marTop w:val="0"/>
          <w:marBottom w:val="240"/>
          <w:divBdr>
            <w:top w:val="none" w:sz="0" w:space="0" w:color="auto"/>
            <w:left w:val="none" w:sz="0" w:space="0" w:color="auto"/>
            <w:bottom w:val="none" w:sz="0" w:space="0" w:color="auto"/>
            <w:right w:val="none" w:sz="0" w:space="0" w:color="auto"/>
          </w:divBdr>
        </w:div>
        <w:div w:id="637685268">
          <w:marLeft w:val="1166"/>
          <w:marRight w:val="0"/>
          <w:marTop w:val="0"/>
          <w:marBottom w:val="240"/>
          <w:divBdr>
            <w:top w:val="none" w:sz="0" w:space="0" w:color="auto"/>
            <w:left w:val="none" w:sz="0" w:space="0" w:color="auto"/>
            <w:bottom w:val="none" w:sz="0" w:space="0" w:color="auto"/>
            <w:right w:val="none" w:sz="0" w:space="0" w:color="auto"/>
          </w:divBdr>
        </w:div>
      </w:divsChild>
    </w:div>
    <w:div w:id="1731924229">
      <w:bodyDiv w:val="1"/>
      <w:marLeft w:val="0"/>
      <w:marRight w:val="0"/>
      <w:marTop w:val="0"/>
      <w:marBottom w:val="0"/>
      <w:divBdr>
        <w:top w:val="none" w:sz="0" w:space="0" w:color="auto"/>
        <w:left w:val="none" w:sz="0" w:space="0" w:color="auto"/>
        <w:bottom w:val="none" w:sz="0" w:space="0" w:color="auto"/>
        <w:right w:val="none" w:sz="0" w:space="0" w:color="auto"/>
      </w:divBdr>
      <w:divsChild>
        <w:div w:id="780418707">
          <w:marLeft w:val="0"/>
          <w:marRight w:val="0"/>
          <w:marTop w:val="0"/>
          <w:marBottom w:val="240"/>
          <w:divBdr>
            <w:top w:val="none" w:sz="0" w:space="0" w:color="auto"/>
            <w:left w:val="none" w:sz="0" w:space="0" w:color="auto"/>
            <w:bottom w:val="none" w:sz="0" w:space="0" w:color="auto"/>
            <w:right w:val="none" w:sz="0" w:space="0" w:color="auto"/>
          </w:divBdr>
        </w:div>
        <w:div w:id="1592280964">
          <w:marLeft w:val="0"/>
          <w:marRight w:val="0"/>
          <w:marTop w:val="0"/>
          <w:marBottom w:val="240"/>
          <w:divBdr>
            <w:top w:val="none" w:sz="0" w:space="0" w:color="auto"/>
            <w:left w:val="none" w:sz="0" w:space="0" w:color="auto"/>
            <w:bottom w:val="none" w:sz="0" w:space="0" w:color="auto"/>
            <w:right w:val="none" w:sz="0" w:space="0" w:color="auto"/>
          </w:divBdr>
        </w:div>
        <w:div w:id="212891946">
          <w:marLeft w:val="0"/>
          <w:marRight w:val="0"/>
          <w:marTop w:val="0"/>
          <w:marBottom w:val="240"/>
          <w:divBdr>
            <w:top w:val="none" w:sz="0" w:space="0" w:color="auto"/>
            <w:left w:val="none" w:sz="0" w:space="0" w:color="auto"/>
            <w:bottom w:val="none" w:sz="0" w:space="0" w:color="auto"/>
            <w:right w:val="none" w:sz="0" w:space="0" w:color="auto"/>
          </w:divBdr>
        </w:div>
      </w:divsChild>
    </w:div>
    <w:div w:id="1779253684">
      <w:bodyDiv w:val="1"/>
      <w:marLeft w:val="0"/>
      <w:marRight w:val="0"/>
      <w:marTop w:val="0"/>
      <w:marBottom w:val="0"/>
      <w:divBdr>
        <w:top w:val="none" w:sz="0" w:space="0" w:color="auto"/>
        <w:left w:val="none" w:sz="0" w:space="0" w:color="auto"/>
        <w:bottom w:val="none" w:sz="0" w:space="0" w:color="auto"/>
        <w:right w:val="none" w:sz="0" w:space="0" w:color="auto"/>
      </w:divBdr>
      <w:divsChild>
        <w:div w:id="991637290">
          <w:marLeft w:val="0"/>
          <w:marRight w:val="0"/>
          <w:marTop w:val="0"/>
          <w:marBottom w:val="240"/>
          <w:divBdr>
            <w:top w:val="none" w:sz="0" w:space="0" w:color="auto"/>
            <w:left w:val="none" w:sz="0" w:space="0" w:color="auto"/>
            <w:bottom w:val="none" w:sz="0" w:space="0" w:color="auto"/>
            <w:right w:val="none" w:sz="0" w:space="0" w:color="auto"/>
          </w:divBdr>
        </w:div>
      </w:divsChild>
    </w:div>
    <w:div w:id="1789161733">
      <w:bodyDiv w:val="1"/>
      <w:marLeft w:val="0"/>
      <w:marRight w:val="0"/>
      <w:marTop w:val="0"/>
      <w:marBottom w:val="0"/>
      <w:divBdr>
        <w:top w:val="none" w:sz="0" w:space="0" w:color="auto"/>
        <w:left w:val="none" w:sz="0" w:space="0" w:color="auto"/>
        <w:bottom w:val="none" w:sz="0" w:space="0" w:color="auto"/>
        <w:right w:val="none" w:sz="0" w:space="0" w:color="auto"/>
      </w:divBdr>
      <w:divsChild>
        <w:div w:id="955989944">
          <w:marLeft w:val="547"/>
          <w:marRight w:val="0"/>
          <w:marTop w:val="0"/>
          <w:marBottom w:val="240"/>
          <w:divBdr>
            <w:top w:val="none" w:sz="0" w:space="0" w:color="auto"/>
            <w:left w:val="none" w:sz="0" w:space="0" w:color="auto"/>
            <w:bottom w:val="none" w:sz="0" w:space="0" w:color="auto"/>
            <w:right w:val="none" w:sz="0" w:space="0" w:color="auto"/>
          </w:divBdr>
        </w:div>
        <w:div w:id="528689138">
          <w:marLeft w:val="547"/>
          <w:marRight w:val="0"/>
          <w:marTop w:val="0"/>
          <w:marBottom w:val="240"/>
          <w:divBdr>
            <w:top w:val="none" w:sz="0" w:space="0" w:color="auto"/>
            <w:left w:val="none" w:sz="0" w:space="0" w:color="auto"/>
            <w:bottom w:val="none" w:sz="0" w:space="0" w:color="auto"/>
            <w:right w:val="none" w:sz="0" w:space="0" w:color="auto"/>
          </w:divBdr>
        </w:div>
        <w:div w:id="162865650">
          <w:marLeft w:val="1166"/>
          <w:marRight w:val="0"/>
          <w:marTop w:val="0"/>
          <w:marBottom w:val="240"/>
          <w:divBdr>
            <w:top w:val="none" w:sz="0" w:space="0" w:color="auto"/>
            <w:left w:val="none" w:sz="0" w:space="0" w:color="auto"/>
            <w:bottom w:val="none" w:sz="0" w:space="0" w:color="auto"/>
            <w:right w:val="none" w:sz="0" w:space="0" w:color="auto"/>
          </w:divBdr>
        </w:div>
        <w:div w:id="1296060738">
          <w:marLeft w:val="1166"/>
          <w:marRight w:val="0"/>
          <w:marTop w:val="0"/>
          <w:marBottom w:val="240"/>
          <w:divBdr>
            <w:top w:val="none" w:sz="0" w:space="0" w:color="auto"/>
            <w:left w:val="none" w:sz="0" w:space="0" w:color="auto"/>
            <w:bottom w:val="none" w:sz="0" w:space="0" w:color="auto"/>
            <w:right w:val="none" w:sz="0" w:space="0" w:color="auto"/>
          </w:divBdr>
        </w:div>
      </w:divsChild>
    </w:div>
    <w:div w:id="1790784551">
      <w:bodyDiv w:val="1"/>
      <w:marLeft w:val="0"/>
      <w:marRight w:val="0"/>
      <w:marTop w:val="0"/>
      <w:marBottom w:val="0"/>
      <w:divBdr>
        <w:top w:val="none" w:sz="0" w:space="0" w:color="auto"/>
        <w:left w:val="none" w:sz="0" w:space="0" w:color="auto"/>
        <w:bottom w:val="none" w:sz="0" w:space="0" w:color="auto"/>
        <w:right w:val="none" w:sz="0" w:space="0" w:color="auto"/>
      </w:divBdr>
      <w:divsChild>
        <w:div w:id="1410694302">
          <w:marLeft w:val="0"/>
          <w:marRight w:val="0"/>
          <w:marTop w:val="0"/>
          <w:marBottom w:val="120"/>
          <w:divBdr>
            <w:top w:val="none" w:sz="0" w:space="0" w:color="auto"/>
            <w:left w:val="none" w:sz="0" w:space="0" w:color="auto"/>
            <w:bottom w:val="none" w:sz="0" w:space="0" w:color="auto"/>
            <w:right w:val="none" w:sz="0" w:space="0" w:color="auto"/>
          </w:divBdr>
        </w:div>
        <w:div w:id="743913554">
          <w:marLeft w:val="0"/>
          <w:marRight w:val="0"/>
          <w:marTop w:val="0"/>
          <w:marBottom w:val="120"/>
          <w:divBdr>
            <w:top w:val="none" w:sz="0" w:space="0" w:color="auto"/>
            <w:left w:val="none" w:sz="0" w:space="0" w:color="auto"/>
            <w:bottom w:val="none" w:sz="0" w:space="0" w:color="auto"/>
            <w:right w:val="none" w:sz="0" w:space="0" w:color="auto"/>
          </w:divBdr>
        </w:div>
        <w:div w:id="1110051556">
          <w:marLeft w:val="0"/>
          <w:marRight w:val="0"/>
          <w:marTop w:val="0"/>
          <w:marBottom w:val="120"/>
          <w:divBdr>
            <w:top w:val="none" w:sz="0" w:space="0" w:color="auto"/>
            <w:left w:val="none" w:sz="0" w:space="0" w:color="auto"/>
            <w:bottom w:val="none" w:sz="0" w:space="0" w:color="auto"/>
            <w:right w:val="none" w:sz="0" w:space="0" w:color="auto"/>
          </w:divBdr>
        </w:div>
      </w:divsChild>
    </w:div>
    <w:div w:id="1838302410">
      <w:bodyDiv w:val="1"/>
      <w:marLeft w:val="0"/>
      <w:marRight w:val="0"/>
      <w:marTop w:val="0"/>
      <w:marBottom w:val="0"/>
      <w:divBdr>
        <w:top w:val="none" w:sz="0" w:space="0" w:color="auto"/>
        <w:left w:val="none" w:sz="0" w:space="0" w:color="auto"/>
        <w:bottom w:val="none" w:sz="0" w:space="0" w:color="auto"/>
        <w:right w:val="none" w:sz="0" w:space="0" w:color="auto"/>
      </w:divBdr>
      <w:divsChild>
        <w:div w:id="511380324">
          <w:marLeft w:val="734"/>
          <w:marRight w:val="0"/>
          <w:marTop w:val="0"/>
          <w:marBottom w:val="240"/>
          <w:divBdr>
            <w:top w:val="none" w:sz="0" w:space="0" w:color="auto"/>
            <w:left w:val="none" w:sz="0" w:space="0" w:color="auto"/>
            <w:bottom w:val="none" w:sz="0" w:space="0" w:color="auto"/>
            <w:right w:val="none" w:sz="0" w:space="0" w:color="auto"/>
          </w:divBdr>
        </w:div>
        <w:div w:id="448204131">
          <w:marLeft w:val="734"/>
          <w:marRight w:val="0"/>
          <w:marTop w:val="0"/>
          <w:marBottom w:val="240"/>
          <w:divBdr>
            <w:top w:val="none" w:sz="0" w:space="0" w:color="auto"/>
            <w:left w:val="none" w:sz="0" w:space="0" w:color="auto"/>
            <w:bottom w:val="none" w:sz="0" w:space="0" w:color="auto"/>
            <w:right w:val="none" w:sz="0" w:space="0" w:color="auto"/>
          </w:divBdr>
        </w:div>
        <w:div w:id="637031171">
          <w:marLeft w:val="1354"/>
          <w:marRight w:val="0"/>
          <w:marTop w:val="0"/>
          <w:marBottom w:val="240"/>
          <w:divBdr>
            <w:top w:val="none" w:sz="0" w:space="0" w:color="auto"/>
            <w:left w:val="none" w:sz="0" w:space="0" w:color="auto"/>
            <w:bottom w:val="none" w:sz="0" w:space="0" w:color="auto"/>
            <w:right w:val="none" w:sz="0" w:space="0" w:color="auto"/>
          </w:divBdr>
        </w:div>
        <w:div w:id="94443843">
          <w:marLeft w:val="734"/>
          <w:marRight w:val="0"/>
          <w:marTop w:val="0"/>
          <w:marBottom w:val="240"/>
          <w:divBdr>
            <w:top w:val="none" w:sz="0" w:space="0" w:color="auto"/>
            <w:left w:val="none" w:sz="0" w:space="0" w:color="auto"/>
            <w:bottom w:val="none" w:sz="0" w:space="0" w:color="auto"/>
            <w:right w:val="none" w:sz="0" w:space="0" w:color="auto"/>
          </w:divBdr>
        </w:div>
        <w:div w:id="773746238">
          <w:marLeft w:val="1354"/>
          <w:marRight w:val="0"/>
          <w:marTop w:val="0"/>
          <w:marBottom w:val="240"/>
          <w:divBdr>
            <w:top w:val="none" w:sz="0" w:space="0" w:color="auto"/>
            <w:left w:val="none" w:sz="0" w:space="0" w:color="auto"/>
            <w:bottom w:val="none" w:sz="0" w:space="0" w:color="auto"/>
            <w:right w:val="none" w:sz="0" w:space="0" w:color="auto"/>
          </w:divBdr>
        </w:div>
        <w:div w:id="467819403">
          <w:marLeft w:val="547"/>
          <w:marRight w:val="0"/>
          <w:marTop w:val="0"/>
          <w:marBottom w:val="120"/>
          <w:divBdr>
            <w:top w:val="none" w:sz="0" w:space="0" w:color="auto"/>
            <w:left w:val="none" w:sz="0" w:space="0" w:color="auto"/>
            <w:bottom w:val="none" w:sz="0" w:space="0" w:color="auto"/>
            <w:right w:val="none" w:sz="0" w:space="0" w:color="auto"/>
          </w:divBdr>
        </w:div>
        <w:div w:id="23873394">
          <w:marLeft w:val="547"/>
          <w:marRight w:val="0"/>
          <w:marTop w:val="0"/>
          <w:marBottom w:val="120"/>
          <w:divBdr>
            <w:top w:val="none" w:sz="0" w:space="0" w:color="auto"/>
            <w:left w:val="none" w:sz="0" w:space="0" w:color="auto"/>
            <w:bottom w:val="none" w:sz="0" w:space="0" w:color="auto"/>
            <w:right w:val="none" w:sz="0" w:space="0" w:color="auto"/>
          </w:divBdr>
        </w:div>
      </w:divsChild>
    </w:div>
    <w:div w:id="1880822929">
      <w:bodyDiv w:val="1"/>
      <w:marLeft w:val="0"/>
      <w:marRight w:val="0"/>
      <w:marTop w:val="0"/>
      <w:marBottom w:val="0"/>
      <w:divBdr>
        <w:top w:val="none" w:sz="0" w:space="0" w:color="auto"/>
        <w:left w:val="none" w:sz="0" w:space="0" w:color="auto"/>
        <w:bottom w:val="none" w:sz="0" w:space="0" w:color="auto"/>
        <w:right w:val="none" w:sz="0" w:space="0" w:color="auto"/>
      </w:divBdr>
      <w:divsChild>
        <w:div w:id="1386953734">
          <w:marLeft w:val="547"/>
          <w:marRight w:val="0"/>
          <w:marTop w:val="120"/>
          <w:marBottom w:val="240"/>
          <w:divBdr>
            <w:top w:val="none" w:sz="0" w:space="0" w:color="auto"/>
            <w:left w:val="none" w:sz="0" w:space="0" w:color="auto"/>
            <w:bottom w:val="none" w:sz="0" w:space="0" w:color="auto"/>
            <w:right w:val="none" w:sz="0" w:space="0" w:color="auto"/>
          </w:divBdr>
        </w:div>
        <w:div w:id="967587769">
          <w:marLeft w:val="547"/>
          <w:marRight w:val="0"/>
          <w:marTop w:val="120"/>
          <w:marBottom w:val="240"/>
          <w:divBdr>
            <w:top w:val="none" w:sz="0" w:space="0" w:color="auto"/>
            <w:left w:val="none" w:sz="0" w:space="0" w:color="auto"/>
            <w:bottom w:val="none" w:sz="0" w:space="0" w:color="auto"/>
            <w:right w:val="none" w:sz="0" w:space="0" w:color="auto"/>
          </w:divBdr>
        </w:div>
        <w:div w:id="1952398697">
          <w:marLeft w:val="547"/>
          <w:marRight w:val="0"/>
          <w:marTop w:val="120"/>
          <w:marBottom w:val="240"/>
          <w:divBdr>
            <w:top w:val="none" w:sz="0" w:space="0" w:color="auto"/>
            <w:left w:val="none" w:sz="0" w:space="0" w:color="auto"/>
            <w:bottom w:val="none" w:sz="0" w:space="0" w:color="auto"/>
            <w:right w:val="none" w:sz="0" w:space="0" w:color="auto"/>
          </w:divBdr>
        </w:div>
      </w:divsChild>
    </w:div>
    <w:div w:id="1919437967">
      <w:bodyDiv w:val="1"/>
      <w:marLeft w:val="0"/>
      <w:marRight w:val="0"/>
      <w:marTop w:val="0"/>
      <w:marBottom w:val="0"/>
      <w:divBdr>
        <w:top w:val="none" w:sz="0" w:space="0" w:color="auto"/>
        <w:left w:val="none" w:sz="0" w:space="0" w:color="auto"/>
        <w:bottom w:val="none" w:sz="0" w:space="0" w:color="auto"/>
        <w:right w:val="none" w:sz="0" w:space="0" w:color="auto"/>
      </w:divBdr>
    </w:div>
    <w:div w:id="1934893889">
      <w:bodyDiv w:val="1"/>
      <w:marLeft w:val="0"/>
      <w:marRight w:val="0"/>
      <w:marTop w:val="0"/>
      <w:marBottom w:val="0"/>
      <w:divBdr>
        <w:top w:val="none" w:sz="0" w:space="0" w:color="auto"/>
        <w:left w:val="none" w:sz="0" w:space="0" w:color="auto"/>
        <w:bottom w:val="none" w:sz="0" w:space="0" w:color="auto"/>
        <w:right w:val="none" w:sz="0" w:space="0" w:color="auto"/>
      </w:divBdr>
      <w:divsChild>
        <w:div w:id="1194535911">
          <w:marLeft w:val="734"/>
          <w:marRight w:val="0"/>
          <w:marTop w:val="0"/>
          <w:marBottom w:val="240"/>
          <w:divBdr>
            <w:top w:val="none" w:sz="0" w:space="0" w:color="auto"/>
            <w:left w:val="none" w:sz="0" w:space="0" w:color="auto"/>
            <w:bottom w:val="none" w:sz="0" w:space="0" w:color="auto"/>
            <w:right w:val="none" w:sz="0" w:space="0" w:color="auto"/>
          </w:divBdr>
        </w:div>
        <w:div w:id="148980162">
          <w:marLeft w:val="734"/>
          <w:marRight w:val="0"/>
          <w:marTop w:val="0"/>
          <w:marBottom w:val="240"/>
          <w:divBdr>
            <w:top w:val="none" w:sz="0" w:space="0" w:color="auto"/>
            <w:left w:val="none" w:sz="0" w:space="0" w:color="auto"/>
            <w:bottom w:val="none" w:sz="0" w:space="0" w:color="auto"/>
            <w:right w:val="none" w:sz="0" w:space="0" w:color="auto"/>
          </w:divBdr>
        </w:div>
        <w:div w:id="2112117302">
          <w:marLeft w:val="734"/>
          <w:marRight w:val="0"/>
          <w:marTop w:val="0"/>
          <w:marBottom w:val="240"/>
          <w:divBdr>
            <w:top w:val="none" w:sz="0" w:space="0" w:color="auto"/>
            <w:left w:val="none" w:sz="0" w:space="0" w:color="auto"/>
            <w:bottom w:val="none" w:sz="0" w:space="0" w:color="auto"/>
            <w:right w:val="none" w:sz="0" w:space="0" w:color="auto"/>
          </w:divBdr>
        </w:div>
      </w:divsChild>
    </w:div>
    <w:div w:id="1974947942">
      <w:bodyDiv w:val="1"/>
      <w:marLeft w:val="0"/>
      <w:marRight w:val="0"/>
      <w:marTop w:val="0"/>
      <w:marBottom w:val="0"/>
      <w:divBdr>
        <w:top w:val="none" w:sz="0" w:space="0" w:color="auto"/>
        <w:left w:val="none" w:sz="0" w:space="0" w:color="auto"/>
        <w:bottom w:val="none" w:sz="0" w:space="0" w:color="auto"/>
        <w:right w:val="none" w:sz="0" w:space="0" w:color="auto"/>
      </w:divBdr>
      <w:divsChild>
        <w:div w:id="967398520">
          <w:marLeft w:val="547"/>
          <w:marRight w:val="0"/>
          <w:marTop w:val="0"/>
          <w:marBottom w:val="240"/>
          <w:divBdr>
            <w:top w:val="none" w:sz="0" w:space="0" w:color="auto"/>
            <w:left w:val="none" w:sz="0" w:space="0" w:color="auto"/>
            <w:bottom w:val="none" w:sz="0" w:space="0" w:color="auto"/>
            <w:right w:val="none" w:sz="0" w:space="0" w:color="auto"/>
          </w:divBdr>
        </w:div>
        <w:div w:id="685013006">
          <w:marLeft w:val="547"/>
          <w:marRight w:val="0"/>
          <w:marTop w:val="0"/>
          <w:marBottom w:val="240"/>
          <w:divBdr>
            <w:top w:val="none" w:sz="0" w:space="0" w:color="auto"/>
            <w:left w:val="none" w:sz="0" w:space="0" w:color="auto"/>
            <w:bottom w:val="none" w:sz="0" w:space="0" w:color="auto"/>
            <w:right w:val="none" w:sz="0" w:space="0" w:color="auto"/>
          </w:divBdr>
        </w:div>
        <w:div w:id="1570309141">
          <w:marLeft w:val="547"/>
          <w:marRight w:val="0"/>
          <w:marTop w:val="0"/>
          <w:marBottom w:val="240"/>
          <w:divBdr>
            <w:top w:val="none" w:sz="0" w:space="0" w:color="auto"/>
            <w:left w:val="none" w:sz="0" w:space="0" w:color="auto"/>
            <w:bottom w:val="none" w:sz="0" w:space="0" w:color="auto"/>
            <w:right w:val="none" w:sz="0" w:space="0" w:color="auto"/>
          </w:divBdr>
        </w:div>
        <w:div w:id="1344744963">
          <w:marLeft w:val="547"/>
          <w:marRight w:val="0"/>
          <w:marTop w:val="0"/>
          <w:marBottom w:val="240"/>
          <w:divBdr>
            <w:top w:val="none" w:sz="0" w:space="0" w:color="auto"/>
            <w:left w:val="none" w:sz="0" w:space="0" w:color="auto"/>
            <w:bottom w:val="none" w:sz="0" w:space="0" w:color="auto"/>
            <w:right w:val="none" w:sz="0" w:space="0" w:color="auto"/>
          </w:divBdr>
        </w:div>
        <w:div w:id="1342851967">
          <w:marLeft w:val="547"/>
          <w:marRight w:val="0"/>
          <w:marTop w:val="0"/>
          <w:marBottom w:val="240"/>
          <w:divBdr>
            <w:top w:val="none" w:sz="0" w:space="0" w:color="auto"/>
            <w:left w:val="none" w:sz="0" w:space="0" w:color="auto"/>
            <w:bottom w:val="none" w:sz="0" w:space="0" w:color="auto"/>
            <w:right w:val="none" w:sz="0" w:space="0" w:color="auto"/>
          </w:divBdr>
        </w:div>
      </w:divsChild>
    </w:div>
    <w:div w:id="1975866060">
      <w:bodyDiv w:val="1"/>
      <w:marLeft w:val="0"/>
      <w:marRight w:val="0"/>
      <w:marTop w:val="0"/>
      <w:marBottom w:val="0"/>
      <w:divBdr>
        <w:top w:val="none" w:sz="0" w:space="0" w:color="auto"/>
        <w:left w:val="none" w:sz="0" w:space="0" w:color="auto"/>
        <w:bottom w:val="none" w:sz="0" w:space="0" w:color="auto"/>
        <w:right w:val="none" w:sz="0" w:space="0" w:color="auto"/>
      </w:divBdr>
      <w:divsChild>
        <w:div w:id="197202999">
          <w:marLeft w:val="547"/>
          <w:marRight w:val="0"/>
          <w:marTop w:val="0"/>
          <w:marBottom w:val="120"/>
          <w:divBdr>
            <w:top w:val="none" w:sz="0" w:space="0" w:color="auto"/>
            <w:left w:val="none" w:sz="0" w:space="0" w:color="auto"/>
            <w:bottom w:val="none" w:sz="0" w:space="0" w:color="auto"/>
            <w:right w:val="none" w:sz="0" w:space="0" w:color="auto"/>
          </w:divBdr>
        </w:div>
        <w:div w:id="420106642">
          <w:marLeft w:val="547"/>
          <w:marRight w:val="0"/>
          <w:marTop w:val="0"/>
          <w:marBottom w:val="120"/>
          <w:divBdr>
            <w:top w:val="none" w:sz="0" w:space="0" w:color="auto"/>
            <w:left w:val="none" w:sz="0" w:space="0" w:color="auto"/>
            <w:bottom w:val="none" w:sz="0" w:space="0" w:color="auto"/>
            <w:right w:val="none" w:sz="0" w:space="0" w:color="auto"/>
          </w:divBdr>
        </w:div>
        <w:div w:id="425346608">
          <w:marLeft w:val="1166"/>
          <w:marRight w:val="0"/>
          <w:marTop w:val="0"/>
          <w:marBottom w:val="120"/>
          <w:divBdr>
            <w:top w:val="none" w:sz="0" w:space="0" w:color="auto"/>
            <w:left w:val="none" w:sz="0" w:space="0" w:color="auto"/>
            <w:bottom w:val="none" w:sz="0" w:space="0" w:color="auto"/>
            <w:right w:val="none" w:sz="0" w:space="0" w:color="auto"/>
          </w:divBdr>
        </w:div>
        <w:div w:id="12805911">
          <w:marLeft w:val="1166"/>
          <w:marRight w:val="0"/>
          <w:marTop w:val="0"/>
          <w:marBottom w:val="120"/>
          <w:divBdr>
            <w:top w:val="none" w:sz="0" w:space="0" w:color="auto"/>
            <w:left w:val="none" w:sz="0" w:space="0" w:color="auto"/>
            <w:bottom w:val="none" w:sz="0" w:space="0" w:color="auto"/>
            <w:right w:val="none" w:sz="0" w:space="0" w:color="auto"/>
          </w:divBdr>
        </w:div>
        <w:div w:id="1744139614">
          <w:marLeft w:val="1166"/>
          <w:marRight w:val="0"/>
          <w:marTop w:val="0"/>
          <w:marBottom w:val="120"/>
          <w:divBdr>
            <w:top w:val="none" w:sz="0" w:space="0" w:color="auto"/>
            <w:left w:val="none" w:sz="0" w:space="0" w:color="auto"/>
            <w:bottom w:val="none" w:sz="0" w:space="0" w:color="auto"/>
            <w:right w:val="none" w:sz="0" w:space="0" w:color="auto"/>
          </w:divBdr>
        </w:div>
        <w:div w:id="427043534">
          <w:marLeft w:val="547"/>
          <w:marRight w:val="0"/>
          <w:marTop w:val="0"/>
          <w:marBottom w:val="120"/>
          <w:divBdr>
            <w:top w:val="none" w:sz="0" w:space="0" w:color="auto"/>
            <w:left w:val="none" w:sz="0" w:space="0" w:color="auto"/>
            <w:bottom w:val="none" w:sz="0" w:space="0" w:color="auto"/>
            <w:right w:val="none" w:sz="0" w:space="0" w:color="auto"/>
          </w:divBdr>
        </w:div>
        <w:div w:id="485629771">
          <w:marLeft w:val="547"/>
          <w:marRight w:val="0"/>
          <w:marTop w:val="0"/>
          <w:marBottom w:val="120"/>
          <w:divBdr>
            <w:top w:val="none" w:sz="0" w:space="0" w:color="auto"/>
            <w:left w:val="none" w:sz="0" w:space="0" w:color="auto"/>
            <w:bottom w:val="none" w:sz="0" w:space="0" w:color="auto"/>
            <w:right w:val="none" w:sz="0" w:space="0" w:color="auto"/>
          </w:divBdr>
        </w:div>
        <w:div w:id="620042078">
          <w:marLeft w:val="547"/>
          <w:marRight w:val="0"/>
          <w:marTop w:val="0"/>
          <w:marBottom w:val="120"/>
          <w:divBdr>
            <w:top w:val="none" w:sz="0" w:space="0" w:color="auto"/>
            <w:left w:val="none" w:sz="0" w:space="0" w:color="auto"/>
            <w:bottom w:val="none" w:sz="0" w:space="0" w:color="auto"/>
            <w:right w:val="none" w:sz="0" w:space="0" w:color="auto"/>
          </w:divBdr>
        </w:div>
      </w:divsChild>
    </w:div>
    <w:div w:id="2017228538">
      <w:bodyDiv w:val="1"/>
      <w:marLeft w:val="0"/>
      <w:marRight w:val="0"/>
      <w:marTop w:val="0"/>
      <w:marBottom w:val="0"/>
      <w:divBdr>
        <w:top w:val="none" w:sz="0" w:space="0" w:color="auto"/>
        <w:left w:val="none" w:sz="0" w:space="0" w:color="auto"/>
        <w:bottom w:val="none" w:sz="0" w:space="0" w:color="auto"/>
        <w:right w:val="none" w:sz="0" w:space="0" w:color="auto"/>
      </w:divBdr>
    </w:div>
    <w:div w:id="2035377669">
      <w:bodyDiv w:val="1"/>
      <w:marLeft w:val="0"/>
      <w:marRight w:val="0"/>
      <w:marTop w:val="0"/>
      <w:marBottom w:val="0"/>
      <w:divBdr>
        <w:top w:val="none" w:sz="0" w:space="0" w:color="auto"/>
        <w:left w:val="none" w:sz="0" w:space="0" w:color="auto"/>
        <w:bottom w:val="none" w:sz="0" w:space="0" w:color="auto"/>
        <w:right w:val="none" w:sz="0" w:space="0" w:color="auto"/>
      </w:divBdr>
      <w:divsChild>
        <w:div w:id="2030638991">
          <w:marLeft w:val="547"/>
          <w:marRight w:val="0"/>
          <w:marTop w:val="0"/>
          <w:marBottom w:val="240"/>
          <w:divBdr>
            <w:top w:val="none" w:sz="0" w:space="0" w:color="auto"/>
            <w:left w:val="none" w:sz="0" w:space="0" w:color="auto"/>
            <w:bottom w:val="none" w:sz="0" w:space="0" w:color="auto"/>
            <w:right w:val="none" w:sz="0" w:space="0" w:color="auto"/>
          </w:divBdr>
        </w:div>
        <w:div w:id="1985044022">
          <w:marLeft w:val="547"/>
          <w:marRight w:val="0"/>
          <w:marTop w:val="0"/>
          <w:marBottom w:val="240"/>
          <w:divBdr>
            <w:top w:val="none" w:sz="0" w:space="0" w:color="auto"/>
            <w:left w:val="none" w:sz="0" w:space="0" w:color="auto"/>
            <w:bottom w:val="none" w:sz="0" w:space="0" w:color="auto"/>
            <w:right w:val="none" w:sz="0" w:space="0" w:color="auto"/>
          </w:divBdr>
        </w:div>
        <w:div w:id="1044599493">
          <w:marLeft w:val="547"/>
          <w:marRight w:val="0"/>
          <w:marTop w:val="0"/>
          <w:marBottom w:val="240"/>
          <w:divBdr>
            <w:top w:val="none" w:sz="0" w:space="0" w:color="auto"/>
            <w:left w:val="none" w:sz="0" w:space="0" w:color="auto"/>
            <w:bottom w:val="none" w:sz="0" w:space="0" w:color="auto"/>
            <w:right w:val="none" w:sz="0" w:space="0" w:color="auto"/>
          </w:divBdr>
        </w:div>
      </w:divsChild>
    </w:div>
    <w:div w:id="2075394485">
      <w:bodyDiv w:val="1"/>
      <w:marLeft w:val="0"/>
      <w:marRight w:val="0"/>
      <w:marTop w:val="0"/>
      <w:marBottom w:val="0"/>
      <w:divBdr>
        <w:top w:val="none" w:sz="0" w:space="0" w:color="auto"/>
        <w:left w:val="none" w:sz="0" w:space="0" w:color="auto"/>
        <w:bottom w:val="none" w:sz="0" w:space="0" w:color="auto"/>
        <w:right w:val="none" w:sz="0" w:space="0" w:color="auto"/>
      </w:divBdr>
      <w:divsChild>
        <w:div w:id="1346981129">
          <w:marLeft w:val="1166"/>
          <w:marRight w:val="0"/>
          <w:marTop w:val="0"/>
          <w:marBottom w:val="240"/>
          <w:divBdr>
            <w:top w:val="none" w:sz="0" w:space="0" w:color="auto"/>
            <w:left w:val="none" w:sz="0" w:space="0" w:color="auto"/>
            <w:bottom w:val="none" w:sz="0" w:space="0" w:color="auto"/>
            <w:right w:val="none" w:sz="0" w:space="0" w:color="auto"/>
          </w:divBdr>
        </w:div>
        <w:div w:id="212231215">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06AD539B482874AA0F94E5F962842FF"/>
        <w:category>
          <w:name w:val="General"/>
          <w:gallery w:val="placeholder"/>
        </w:category>
        <w:types>
          <w:type w:val="bbPlcHdr"/>
        </w:types>
        <w:behaviors>
          <w:behavior w:val="content"/>
        </w:behaviors>
        <w:guid w:val="{47BB29AB-B1D1-A545-908A-330713783B2A}"/>
      </w:docPartPr>
      <w:docPartBody>
        <w:p w:rsidR="007B16A3" w:rsidRDefault="007B16A3" w:rsidP="007B16A3">
          <w:pPr>
            <w:pStyle w:val="206AD539B482874AA0F94E5F962842FF"/>
          </w:pPr>
          <w:r>
            <w:t>[Type text]</w:t>
          </w:r>
        </w:p>
      </w:docPartBody>
    </w:docPart>
    <w:docPart>
      <w:docPartPr>
        <w:name w:val="198E9F7423A39F4F900DECAE813632DE"/>
        <w:category>
          <w:name w:val="General"/>
          <w:gallery w:val="placeholder"/>
        </w:category>
        <w:types>
          <w:type w:val="bbPlcHdr"/>
        </w:types>
        <w:behaviors>
          <w:behavior w:val="content"/>
        </w:behaviors>
        <w:guid w:val="{B6FBB0F6-DC42-8D4F-BD66-57A2299C49C8}"/>
      </w:docPartPr>
      <w:docPartBody>
        <w:p w:rsidR="007B16A3" w:rsidRDefault="007B16A3" w:rsidP="007B16A3">
          <w:pPr>
            <w:pStyle w:val="198E9F7423A39F4F900DECAE813632DE"/>
          </w:pPr>
          <w:r>
            <w:t>[Type text]</w:t>
          </w:r>
        </w:p>
      </w:docPartBody>
    </w:docPart>
    <w:docPart>
      <w:docPartPr>
        <w:name w:val="2B276C7E4F5401448D6B37D9068E0128"/>
        <w:category>
          <w:name w:val="General"/>
          <w:gallery w:val="placeholder"/>
        </w:category>
        <w:types>
          <w:type w:val="bbPlcHdr"/>
        </w:types>
        <w:behaviors>
          <w:behavior w:val="content"/>
        </w:behaviors>
        <w:guid w:val="{5D1CC7D9-1FEB-AF4E-8973-667176EEB608}"/>
      </w:docPartPr>
      <w:docPartBody>
        <w:p w:rsidR="007B16A3" w:rsidRDefault="007B16A3" w:rsidP="007B16A3">
          <w:pPr>
            <w:pStyle w:val="2B276C7E4F5401448D6B37D9068E012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SansStd-Bold">
    <w:altName w:val="Calibri"/>
    <w:panose1 w:val="00000000000000000000"/>
    <w:charset w:val="4D"/>
    <w:family w:val="auto"/>
    <w:notTrueType/>
    <w:pitch w:val="default"/>
    <w:sig w:usb0="00000003" w:usb1="00000000" w:usb2="00000000" w:usb3="00000000" w:csb0="00000001" w:csb1="00000000"/>
  </w:font>
  <w:font w:name="GillSansStd">
    <w:altName w:val="Calibri"/>
    <w:panose1 w:val="00000000000000000000"/>
    <w:charset w:val="4D"/>
    <w:family w:val="auto"/>
    <w:notTrueType/>
    <w:pitch w:val="default"/>
    <w:sig w:usb0="00000003" w:usb1="00000000" w:usb2="00000000" w:usb3="00000000" w:csb0="00000001" w:csb1="00000000"/>
  </w:font>
  <w:font w:name="ZapfDingbatsITC">
    <w:altName w:val="Zapf Dingbats"/>
    <w:charset w:val="02"/>
    <w:family w:val="auto"/>
    <w:pitch w:val="variable"/>
    <w:sig w:usb0="00000000" w:usb1="10000000" w:usb2="00000000" w:usb3="00000000" w:csb0="80000000" w:csb1="00000000"/>
  </w:font>
  <w:font w:name="TimesTen-Roman">
    <w:altName w:val="MS Mincho"/>
    <w:panose1 w:val="00000000000000000000"/>
    <w:charset w:val="80"/>
    <w:family w:val="auto"/>
    <w:notTrueType/>
    <w:pitch w:val="default"/>
    <w:sig w:usb0="00000000" w:usb1="08070000" w:usb2="00000010" w:usb3="00000000" w:csb0="00020001" w:csb1="00000000"/>
  </w:font>
  <w:font w:name="AdvPA05F">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6A3"/>
    <w:rsid w:val="00091A3B"/>
    <w:rsid w:val="00116F41"/>
    <w:rsid w:val="001A1351"/>
    <w:rsid w:val="001A3CA2"/>
    <w:rsid w:val="001A6FAE"/>
    <w:rsid w:val="003411F0"/>
    <w:rsid w:val="00370097"/>
    <w:rsid w:val="00407569"/>
    <w:rsid w:val="004331E0"/>
    <w:rsid w:val="00554F45"/>
    <w:rsid w:val="005D1E0D"/>
    <w:rsid w:val="006337B7"/>
    <w:rsid w:val="007A320D"/>
    <w:rsid w:val="007B16A3"/>
    <w:rsid w:val="009D44AC"/>
    <w:rsid w:val="009F1CEF"/>
    <w:rsid w:val="00AB7852"/>
    <w:rsid w:val="00CF4BE0"/>
    <w:rsid w:val="00E80BCE"/>
    <w:rsid w:val="00EC5523"/>
    <w:rsid w:val="00ED0379"/>
    <w:rsid w:val="00F03BBE"/>
    <w:rsid w:val="00F562B9"/>
    <w:rsid w:val="00F67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06AD539B482874AA0F94E5F962842FF">
    <w:name w:val="206AD539B482874AA0F94E5F962842FF"/>
    <w:rsid w:val="007B16A3"/>
  </w:style>
  <w:style w:type="paragraph" w:customStyle="1" w:styleId="198E9F7423A39F4F900DECAE813632DE">
    <w:name w:val="198E9F7423A39F4F900DECAE813632DE"/>
    <w:rsid w:val="007B16A3"/>
  </w:style>
  <w:style w:type="paragraph" w:customStyle="1" w:styleId="2B276C7E4F5401448D6B37D9068E0128">
    <w:name w:val="2B276C7E4F5401448D6B37D9068E0128"/>
    <w:rsid w:val="007B16A3"/>
  </w:style>
  <w:style w:type="paragraph" w:customStyle="1" w:styleId="33787E1506BC6F4FAB37F9024C75C13E">
    <w:name w:val="33787E1506BC6F4FAB37F9024C75C13E"/>
    <w:rsid w:val="007B16A3"/>
  </w:style>
  <w:style w:type="paragraph" w:customStyle="1" w:styleId="B0834131C2E25741978E5CF0FBD1900D">
    <w:name w:val="B0834131C2E25741978E5CF0FBD1900D"/>
    <w:rsid w:val="007B16A3"/>
  </w:style>
  <w:style w:type="paragraph" w:customStyle="1" w:styleId="77DB657393A35F4EB0F85E8C9C11CF23">
    <w:name w:val="77DB657393A35F4EB0F85E8C9C11CF23"/>
    <w:rsid w:val="007B16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05BA2-DBA9-4258-9908-32A54956C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4919</Words>
  <Characters>28042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Tool: SSA</vt:lpstr>
    </vt:vector>
  </TitlesOfParts>
  <Manager>Johns Hopkins Medicine | Armstrong Institute for Patient Safety and Quality</Manager>
  <Company>AHRQ | Agency for Healthcare Research and Quality</Company>
  <LinksUpToDate>false</LinksUpToDate>
  <CharactersWithSpaces>32896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 SSA</dc:title>
  <dc:subject>AHRQ Safety Program for Mechanically Ventilated Patients</dc:subject>
  <dc:creator>CUSP4MVP-VAP/L&amp;D</dc:creator>
  <cp:keywords>ventilator associated pneumonia, staff safety assessent, ICU</cp:keywords>
  <cp:lastModifiedBy>Chris Heidenrich OCKT</cp:lastModifiedBy>
  <cp:revision>2</cp:revision>
  <cp:lastPrinted>2016-02-03T19:30:00Z</cp:lastPrinted>
  <dcterms:created xsi:type="dcterms:W3CDTF">2017-01-07T03:18:00Z</dcterms:created>
  <dcterms:modified xsi:type="dcterms:W3CDTF">2017-01-07T03:18:00Z</dcterms:modified>
  <cp:category>patient safety, CUSP, VAE, VAP, healthcare acquired infections, critical care nursing, mechanical ventilation, ventilator associated events, early mobility, low tidal volume ventilation, daily care</cp:category>
</cp:coreProperties>
</file>