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0" w:rsidRPr="00622A85" w:rsidRDefault="00472A7A" w:rsidP="00B84ABE">
      <w:pPr>
        <w:pStyle w:val="Title"/>
        <w:spacing w:before="360" w:after="120"/>
        <w:rPr>
          <w:rFonts w:ascii="Calibri" w:hAnsi="Calibri"/>
          <w:sz w:val="28"/>
          <w:szCs w:val="28"/>
        </w:rPr>
      </w:pPr>
      <w:bookmarkStart w:id="0" w:name="_GoBack"/>
      <w:bookmarkEnd w:id="0"/>
      <w:r w:rsidRPr="00622A85">
        <w:rPr>
          <w:rFonts w:ascii="Calibri" w:hAnsi="Calibri"/>
          <w:sz w:val="28"/>
          <w:szCs w:val="28"/>
        </w:rPr>
        <w:t>Board Checklist</w:t>
      </w:r>
    </w:p>
    <w:p w:rsidR="00256339" w:rsidRPr="00D94C26" w:rsidRDefault="00256339" w:rsidP="00D94C26">
      <w:pPr>
        <w:pStyle w:val="BodyText"/>
        <w:rPr>
          <w:b/>
        </w:rPr>
      </w:pPr>
      <w:r w:rsidRPr="00D94C26">
        <w:rPr>
          <w:b/>
        </w:rPr>
        <w:t>Who should use this tool:</w:t>
      </w:r>
      <w:r w:rsidR="00472A7A">
        <w:rPr>
          <w:b/>
        </w:rPr>
        <w:t xml:space="preserve"> </w:t>
      </w:r>
      <w:r w:rsidR="00472A7A" w:rsidRPr="00472A7A">
        <w:t>Senior leaders</w:t>
      </w:r>
    </w:p>
    <w:tbl>
      <w:tblPr>
        <w:tblW w:w="1082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 listing Checklist Items, with blank cells to enter Leader Responsible and Date Initiated."/>
      </w:tblPr>
      <w:tblGrid>
        <w:gridCol w:w="6239"/>
        <w:gridCol w:w="2700"/>
        <w:gridCol w:w="1890"/>
      </w:tblGrid>
      <w:tr w:rsidR="00472A7A" w:rsidRPr="001717FF" w:rsidTr="007F6365">
        <w:trPr>
          <w:tblHeader/>
        </w:trPr>
        <w:tc>
          <w:tcPr>
            <w:tcW w:w="6239" w:type="dxa"/>
            <w:shd w:val="clear" w:color="auto" w:fill="80C8D5"/>
            <w:vAlign w:val="bottom"/>
          </w:tcPr>
          <w:p w:rsidR="00472A7A" w:rsidRPr="00541AF8" w:rsidRDefault="00472A7A" w:rsidP="00472A7A">
            <w:pPr>
              <w:pStyle w:val="TableHeaders"/>
            </w:pPr>
            <w:r>
              <w:t>Checklist Items</w:t>
            </w:r>
          </w:p>
        </w:tc>
        <w:tc>
          <w:tcPr>
            <w:tcW w:w="2700" w:type="dxa"/>
            <w:shd w:val="clear" w:color="auto" w:fill="80C8D5"/>
            <w:vAlign w:val="bottom"/>
          </w:tcPr>
          <w:p w:rsidR="00472A7A" w:rsidRPr="00541AF8" w:rsidRDefault="00472A7A" w:rsidP="00472A7A">
            <w:pPr>
              <w:pStyle w:val="TableHeaders"/>
            </w:pPr>
            <w:r w:rsidRPr="00541AF8">
              <w:t>Leader Responsible</w:t>
            </w:r>
          </w:p>
        </w:tc>
        <w:tc>
          <w:tcPr>
            <w:tcW w:w="1890" w:type="dxa"/>
            <w:shd w:val="clear" w:color="auto" w:fill="80C8D5"/>
            <w:vAlign w:val="bottom"/>
          </w:tcPr>
          <w:p w:rsidR="00472A7A" w:rsidRPr="00541AF8" w:rsidRDefault="00472A7A" w:rsidP="00472A7A">
            <w:pPr>
              <w:pStyle w:val="TableHeaders"/>
            </w:pPr>
            <w:r w:rsidRPr="00541AF8">
              <w:t>Date</w:t>
            </w:r>
            <w:r>
              <w:t xml:space="preserve"> </w:t>
            </w:r>
            <w:r w:rsidRPr="00541AF8">
              <w:t>Initiated</w:t>
            </w:r>
          </w:p>
        </w:tc>
      </w:tr>
      <w:tr w:rsidR="00472A7A" w:rsidRPr="001717FF" w:rsidTr="007F6365">
        <w:tc>
          <w:tcPr>
            <w:tcW w:w="6239" w:type="dxa"/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Set </w:t>
            </w:r>
            <w:r>
              <w:t xml:space="preserve">an </w:t>
            </w:r>
            <w:r w:rsidRPr="00541AF8">
              <w:t xml:space="preserve">organization aim </w:t>
            </w:r>
            <w:r>
              <w:t xml:space="preserve">of </w:t>
            </w:r>
            <w:r w:rsidRPr="00541AF8">
              <w:t>annually assess</w:t>
            </w:r>
            <w:r>
              <w:t>ing</w:t>
            </w:r>
            <w:r w:rsidRPr="00541AF8">
              <w:t xml:space="preserve"> </w:t>
            </w:r>
            <w:r>
              <w:t xml:space="preserve">the </w:t>
            </w:r>
            <w:r w:rsidRPr="00541AF8">
              <w:t>safety and teamwork climate</w:t>
            </w:r>
            <w:r>
              <w:t>.</w:t>
            </w:r>
          </w:p>
        </w:tc>
        <w:tc>
          <w:tcPr>
            <w:tcW w:w="2700" w:type="dxa"/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>
              <w:t>I</w:t>
            </w:r>
            <w:r w:rsidRPr="00541AF8">
              <w:t>mprov</w:t>
            </w:r>
            <w:r>
              <w:t>e the safety and teamwork climate</w:t>
            </w:r>
            <w:r w:rsidRPr="00541AF8">
              <w:t xml:space="preserve"> using valid measures</w:t>
            </w:r>
            <w:r>
              <w:t>.</w:t>
            </w:r>
          </w:p>
        </w:tc>
        <w:tc>
          <w:tcPr>
            <w:tcW w:w="2700" w:type="dxa"/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Set expectation for </w:t>
            </w:r>
            <w:r>
              <w:t>unit</w:t>
            </w:r>
            <w:r w:rsidRPr="00541AF8">
              <w:t>-level culture assessment</w:t>
            </w:r>
            <w:r>
              <w:t>.</w:t>
            </w:r>
          </w:p>
        </w:tc>
        <w:tc>
          <w:tcPr>
            <w:tcW w:w="2700" w:type="dxa"/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>
              <w:t xml:space="preserve">Require </w:t>
            </w:r>
            <w:r w:rsidRPr="00541AF8">
              <w:t xml:space="preserve">at least </w:t>
            </w:r>
            <w:r>
              <w:t xml:space="preserve">a </w:t>
            </w:r>
            <w:r w:rsidRPr="00541AF8">
              <w:t>60</w:t>
            </w:r>
            <w:r>
              <w:t xml:space="preserve"> percent</w:t>
            </w:r>
            <w:r w:rsidRPr="00541AF8">
              <w:t xml:space="preserve"> participation rate by doctors and nurses. (Hospital-level culture scores do not allow targeted improvement</w:t>
            </w:r>
            <w:r>
              <w:t>.)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0C47CB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Review </w:t>
            </w:r>
            <w:r>
              <w:t>c</w:t>
            </w:r>
            <w:r w:rsidRPr="00541AF8">
              <w:t xml:space="preserve">ulture </w:t>
            </w:r>
            <w:r>
              <w:t>a</w:t>
            </w:r>
            <w:r w:rsidRPr="00541AF8">
              <w:t>ssessment data regularly (</w:t>
            </w:r>
            <w:r w:rsidR="00C6702B">
              <w:t xml:space="preserve">required by </w:t>
            </w:r>
            <w:r w:rsidRPr="00541AF8">
              <w:t>The Joint Commission)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>
              <w:t>E</w:t>
            </w:r>
            <w:r w:rsidRPr="00541AF8">
              <w:t xml:space="preserve">xplore </w:t>
            </w:r>
            <w:r>
              <w:t xml:space="preserve">the </w:t>
            </w:r>
            <w:r w:rsidRPr="00541AF8">
              <w:t>relationship between culture and clinical outcomes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Hold </w:t>
            </w:r>
            <w:r>
              <w:t>the e</w:t>
            </w:r>
            <w:r w:rsidRPr="00541AF8">
              <w:t xml:space="preserve">xecutive team accountable for </w:t>
            </w:r>
            <w:r>
              <w:t xml:space="preserve">an </w:t>
            </w:r>
            <w:r w:rsidRPr="00541AF8">
              <w:t>explicit action plan to improve safety and teamwork.</w:t>
            </w:r>
            <w: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  <w:rPr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Review </w:t>
            </w:r>
            <w:r>
              <w:t xml:space="preserve">the </w:t>
            </w:r>
            <w:r w:rsidRPr="00541AF8">
              <w:t xml:space="preserve">progress </w:t>
            </w:r>
            <w:r>
              <w:t xml:space="preserve">of safety and teamwork improvement </w:t>
            </w:r>
            <w:r w:rsidRPr="00541AF8">
              <w:t>monthly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0C47CB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Establish </w:t>
            </w:r>
            <w:r>
              <w:t xml:space="preserve">a </w:t>
            </w:r>
            <w:r w:rsidRPr="00541AF8">
              <w:t xml:space="preserve">policy that all current and new employees and board members </w:t>
            </w:r>
            <w:r w:rsidR="00C6702B">
              <w:t>must</w:t>
            </w:r>
            <w:r>
              <w:t xml:space="preserve"> receive S</w:t>
            </w:r>
            <w:r w:rsidRPr="00541AF8">
              <w:t xml:space="preserve">cience of </w:t>
            </w:r>
            <w:r>
              <w:t>S</w:t>
            </w:r>
            <w:r w:rsidRPr="00541AF8">
              <w:t>afety training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Set </w:t>
            </w:r>
            <w:r>
              <w:t xml:space="preserve">the </w:t>
            </w:r>
            <w:r w:rsidRPr="00541AF8">
              <w:t xml:space="preserve">expectation that a senior leader is an active member of each </w:t>
            </w:r>
            <w:r w:rsidR="00C6702B">
              <w:t>Comprehensive Unit-based Safety Program (</w:t>
            </w:r>
            <w:r>
              <w:t>CUSP</w:t>
            </w:r>
            <w:r w:rsidR="00C6702B">
              <w:t>)</w:t>
            </w:r>
            <w:r>
              <w:t xml:space="preserve"> </w:t>
            </w:r>
            <w:r w:rsidRPr="00541AF8">
              <w:t>team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>
              <w:t>Ensure senior leaders meet</w:t>
            </w:r>
            <w:r w:rsidRPr="00541AF8">
              <w:t xml:space="preserve"> with the </w:t>
            </w:r>
            <w:r>
              <w:t xml:space="preserve">CUSP </w:t>
            </w:r>
            <w:r w:rsidRPr="00541AF8">
              <w:t>team at least monthly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>Hear at least one</w:t>
            </w:r>
            <w:r>
              <w:t xml:space="preserve"> story of a </w:t>
            </w:r>
            <w:r w:rsidRPr="00541AF8">
              <w:t>patient</w:t>
            </w:r>
            <w:r>
              <w:t xml:space="preserve"> being harmed </w:t>
            </w:r>
            <w:r w:rsidRPr="00541AF8">
              <w:t xml:space="preserve">at each </w:t>
            </w:r>
            <w:r>
              <w:t>b</w:t>
            </w:r>
            <w:r w:rsidRPr="00541AF8">
              <w:t>oard meeting</w:t>
            </w:r>
            <w:r>
              <w:t xml:space="preserve">. </w:t>
            </w:r>
            <w:r w:rsidRPr="00C91C1F">
              <w:t>Discuss major patient safety event</w:t>
            </w:r>
            <w:r w:rsidRPr="00C512D0">
              <w:t>s</w:t>
            </w:r>
            <w:r w:rsidRPr="00C91C1F">
              <w:t>/error</w:t>
            </w:r>
            <w:r w:rsidRPr="00C512D0">
              <w:t>s</w:t>
            </w:r>
            <w:r w:rsidRPr="00C91C1F">
              <w:t xml:space="preserve"> that have occurred in the most recent timeframe to show that this is an important and ongoing concern</w:t>
            </w:r>
            <w: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472A7A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 xml:space="preserve">Work with </w:t>
            </w:r>
            <w:r>
              <w:t xml:space="preserve">the chief executive officer </w:t>
            </w:r>
            <w:r w:rsidRPr="00541AF8">
              <w:t xml:space="preserve">and </w:t>
            </w:r>
            <w:r>
              <w:t xml:space="preserve">chief medical officer </w:t>
            </w:r>
            <w:r w:rsidRPr="00541AF8">
              <w:t>to establish interdisciplinary patient rounds as an organization</w:t>
            </w:r>
            <w:r>
              <w:t>al</w:t>
            </w:r>
            <w:r w:rsidRPr="00541AF8">
              <w:t xml:space="preserve"> standard practice.</w:t>
            </w:r>
            <w:r w:rsidRPr="00541AF8" w:rsidDel="001512F2"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  <w:tr w:rsidR="00472A7A" w:rsidRPr="001717FF" w:rsidTr="007F6365">
        <w:tc>
          <w:tcPr>
            <w:tcW w:w="6239" w:type="dxa"/>
            <w:tcBorders>
              <w:bottom w:val="single" w:sz="4" w:space="0" w:color="auto"/>
            </w:tcBorders>
          </w:tcPr>
          <w:p w:rsidR="00472A7A" w:rsidRPr="00541AF8" w:rsidRDefault="00472A7A" w:rsidP="000C47CB">
            <w:pPr>
              <w:pStyle w:val="TableText"/>
              <w:numPr>
                <w:ilvl w:val="0"/>
                <w:numId w:val="7"/>
              </w:numPr>
              <w:ind w:left="360"/>
            </w:pPr>
            <w:r w:rsidRPr="00541AF8">
              <w:t>Review a summary report of staff patient safety assessments* no less than annually</w:t>
            </w:r>
            <w:r>
              <w:t>.</w:t>
            </w:r>
            <w:r w:rsidRPr="00541AF8">
              <w:t xml:space="preserve"> (*</w:t>
            </w:r>
            <w:r w:rsidR="00C6702B">
              <w:t>“</w:t>
            </w:r>
            <w:r>
              <w:t>H</w:t>
            </w:r>
            <w:r w:rsidRPr="00541AF8">
              <w:t>ow is the next patient likely to be harmed on my unit? What might we do to prevent that harm?</w:t>
            </w:r>
            <w:r w:rsidR="00C9548C">
              <w:t>”</w:t>
            </w:r>
            <w:r w:rsidRPr="00541AF8"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2A7A" w:rsidRPr="00541AF8" w:rsidRDefault="00472A7A" w:rsidP="007F6365">
            <w:pPr>
              <w:pStyle w:val="TableText"/>
            </w:pPr>
          </w:p>
        </w:tc>
      </w:tr>
    </w:tbl>
    <w:p w:rsidR="00CB6904" w:rsidRPr="000C47CB" w:rsidRDefault="00CB6904" w:rsidP="000C47CB">
      <w:pPr>
        <w:tabs>
          <w:tab w:val="left" w:pos="300"/>
          <w:tab w:val="center" w:pos="5040"/>
        </w:tabs>
        <w:spacing w:after="120"/>
        <w:rPr>
          <w:rFonts w:cs="Arial"/>
          <w:sz w:val="12"/>
          <w:szCs w:val="12"/>
        </w:rPr>
      </w:pPr>
    </w:p>
    <w:sectPr w:rsidR="00CB6904" w:rsidRPr="000C47CB" w:rsidSect="00676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72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66" w:rsidRDefault="00BB1466" w:rsidP="00F359C3">
      <w:r>
        <w:separator/>
      </w:r>
    </w:p>
  </w:endnote>
  <w:endnote w:type="continuationSeparator" w:id="0">
    <w:p w:rsidR="00BB1466" w:rsidRDefault="00BB1466" w:rsidP="00F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BC58F" wp14:editId="24669E7F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3" name="Picture 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B66CD8" w:rsidP="007D3FD6">
    <w:pPr>
      <w:pStyle w:val="Footer"/>
      <w:ind w:left="-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6" w:rsidRDefault="001E0172" w:rsidP="00E8487A">
    <w:pPr>
      <w:pStyle w:val="Footer"/>
      <w:ind w:left="-720"/>
    </w:pPr>
    <w:r w:rsidRPr="00CB64EC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1E446AD" wp14:editId="4D780D33">
              <wp:simplePos x="0" y="0"/>
              <wp:positionH relativeFrom="column">
                <wp:posOffset>4933950</wp:posOffset>
              </wp:positionH>
              <wp:positionV relativeFrom="page">
                <wp:posOffset>9081135</wp:posOffset>
              </wp:positionV>
              <wp:extent cx="2203450" cy="40259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172" w:rsidRPr="006F023F" w:rsidRDefault="001E0172" w:rsidP="001E0172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F023F">
                            <w:rPr>
                              <w:sz w:val="18"/>
                              <w:szCs w:val="18"/>
                            </w:rPr>
                            <w:t>AHRQ Publication No. 17-0003-10-EF</w:t>
                          </w:r>
                        </w:p>
                        <w:p w:rsidR="001E0172" w:rsidRPr="006F023F" w:rsidRDefault="00856F57" w:rsidP="001E0172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5pt;margin-top:715.05pt;width:173.5pt;height:31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" filled="f" stroked="f">
              <v:textbox style="mso-fit-shape-to-text:t">
                <w:txbxContent>
                  <w:p w:rsidR="001E0172" w:rsidRPr="006F023F" w:rsidRDefault="001E0172" w:rsidP="001E0172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6F023F">
                      <w:rPr>
                        <w:sz w:val="18"/>
                        <w:szCs w:val="18"/>
                      </w:rPr>
                      <w:t>AHRQ Publication No. 17-0003-10-EF</w:t>
                    </w:r>
                  </w:p>
                  <w:p w:rsidR="001E0172" w:rsidRPr="006F023F" w:rsidRDefault="00856F57" w:rsidP="001E0172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May 2017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66" w:rsidRDefault="00BB1466" w:rsidP="00F359C3">
      <w:r>
        <w:separator/>
      </w:r>
    </w:p>
  </w:footnote>
  <w:footnote w:type="continuationSeparator" w:id="0">
    <w:p w:rsidR="00BB1466" w:rsidRDefault="00BB1466" w:rsidP="00F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384E84" wp14:editId="7E28DD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4" name="Picture 1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CD8" w:rsidRDefault="00B6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B66CD8" w:rsidP="007D3FD6">
    <w:pPr>
      <w:pStyle w:val="Header"/>
      <w:tabs>
        <w:tab w:val="clear" w:pos="4680"/>
        <w:tab w:val="clear" w:pos="9360"/>
      </w:tabs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A" w:rsidRPr="00622A85" w:rsidRDefault="001E0172" w:rsidP="001E0172">
    <w:pPr>
      <w:pStyle w:val="Header"/>
      <w:tabs>
        <w:tab w:val="clear" w:pos="9360"/>
      </w:tabs>
      <w:spacing w:before="360" w:after="120"/>
      <w:jc w:val="center"/>
      <w:rPr>
        <w:rFonts w:ascii="Calibri" w:hAnsi="Calibri" w:cs="Arial"/>
        <w:b/>
        <w:color w:val="FFFFFF" w:themeColor="background1"/>
        <w:sz w:val="48"/>
        <w:szCs w:val="48"/>
      </w:rPr>
    </w:pPr>
    <w:r w:rsidRPr="00622A85">
      <w:rPr>
        <w:rFonts w:ascii="Calibri" w:hAnsi="Calibri" w:cs="Arial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58752" behindDoc="1" locked="0" layoutInCell="1" allowOverlap="1" wp14:anchorId="09C56BA7" wp14:editId="75BFA9DA">
          <wp:simplePos x="0" y="0"/>
          <wp:positionH relativeFrom="column">
            <wp:posOffset>-487680</wp:posOffset>
          </wp:positionH>
          <wp:positionV relativeFrom="paragraph">
            <wp:posOffset>-22860</wp:posOffset>
          </wp:positionV>
          <wp:extent cx="7764145" cy="10058400"/>
          <wp:effectExtent l="0" t="0" r="8255" b="0"/>
          <wp:wrapNone/>
          <wp:docPr id="6" name="Picture 6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for Word 1_bet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 t="1148" r="7364" b="5364"/>
                  <a:stretch/>
                </pic:blipFill>
                <pic:spPr bwMode="auto">
                  <a:xfrm>
                    <a:off x="0" y="0"/>
                    <a:ext cx="7764145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A85">
      <w:rPr>
        <w:rFonts w:ascii="Calibri" w:hAnsi="Calibri" w:cs="Arial"/>
        <w:b/>
        <w:color w:val="FFFFFF" w:themeColor="background1"/>
        <w:sz w:val="48"/>
        <w:szCs w:val="48"/>
      </w:rPr>
      <w:t xml:space="preserve">AHRQ </w:t>
    </w:r>
    <w:r w:rsidR="00D306FA" w:rsidRPr="00622A85">
      <w:rPr>
        <w:rFonts w:ascii="Calibri" w:hAnsi="Calibri" w:cs="Arial"/>
        <w:b/>
        <w:color w:val="FFFFFF" w:themeColor="background1"/>
        <w:sz w:val="48"/>
        <w:szCs w:val="48"/>
      </w:rPr>
      <w:t>Safety Program for Perinatal Care</w:t>
    </w:r>
  </w:p>
  <w:p w:rsidR="007D3FD6" w:rsidRDefault="007D3FD6" w:rsidP="00E8487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1A5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BB83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E16CD"/>
    <w:multiLevelType w:val="hybridMultilevel"/>
    <w:tmpl w:val="F65249C2"/>
    <w:lvl w:ilvl="0" w:tplc="DBE8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55FD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3DEF"/>
    <w:multiLevelType w:val="hybridMultilevel"/>
    <w:tmpl w:val="66F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D5E09"/>
    <w:multiLevelType w:val="hybridMultilevel"/>
    <w:tmpl w:val="D88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3"/>
    <w:rsid w:val="0000327F"/>
    <w:rsid w:val="0000371C"/>
    <w:rsid w:val="000078BA"/>
    <w:rsid w:val="00020CCA"/>
    <w:rsid w:val="00026020"/>
    <w:rsid w:val="00056F35"/>
    <w:rsid w:val="000615AD"/>
    <w:rsid w:val="00066722"/>
    <w:rsid w:val="00085598"/>
    <w:rsid w:val="000A157A"/>
    <w:rsid w:val="000B3BAA"/>
    <w:rsid w:val="000C47CB"/>
    <w:rsid w:val="000D397A"/>
    <w:rsid w:val="000D3B14"/>
    <w:rsid w:val="000E2EDD"/>
    <w:rsid w:val="000E3BCA"/>
    <w:rsid w:val="001218E2"/>
    <w:rsid w:val="0012750D"/>
    <w:rsid w:val="001A15BE"/>
    <w:rsid w:val="001A4E30"/>
    <w:rsid w:val="001B5AF7"/>
    <w:rsid w:val="001C76AB"/>
    <w:rsid w:val="001E0172"/>
    <w:rsid w:val="001F1EC3"/>
    <w:rsid w:val="0022397C"/>
    <w:rsid w:val="00252EDC"/>
    <w:rsid w:val="00256339"/>
    <w:rsid w:val="00260908"/>
    <w:rsid w:val="00260BB2"/>
    <w:rsid w:val="00273C10"/>
    <w:rsid w:val="00277353"/>
    <w:rsid w:val="00277EBF"/>
    <w:rsid w:val="00285EE8"/>
    <w:rsid w:val="0029197B"/>
    <w:rsid w:val="00293C0A"/>
    <w:rsid w:val="002C14C8"/>
    <w:rsid w:val="002C771E"/>
    <w:rsid w:val="002D57BF"/>
    <w:rsid w:val="002F3F30"/>
    <w:rsid w:val="00316B37"/>
    <w:rsid w:val="0032024A"/>
    <w:rsid w:val="0036516C"/>
    <w:rsid w:val="003A1AE9"/>
    <w:rsid w:val="003B145D"/>
    <w:rsid w:val="003C5E7F"/>
    <w:rsid w:val="003D736B"/>
    <w:rsid w:val="00426E6B"/>
    <w:rsid w:val="004356CE"/>
    <w:rsid w:val="00436E2D"/>
    <w:rsid w:val="00472A7A"/>
    <w:rsid w:val="004C6F52"/>
    <w:rsid w:val="004E0859"/>
    <w:rsid w:val="004F0480"/>
    <w:rsid w:val="005031E0"/>
    <w:rsid w:val="00504B37"/>
    <w:rsid w:val="005379B7"/>
    <w:rsid w:val="00541AF8"/>
    <w:rsid w:val="00554388"/>
    <w:rsid w:val="0058283D"/>
    <w:rsid w:val="0059523A"/>
    <w:rsid w:val="005B0CD5"/>
    <w:rsid w:val="005D0889"/>
    <w:rsid w:val="005D555B"/>
    <w:rsid w:val="005F4812"/>
    <w:rsid w:val="005F6C9C"/>
    <w:rsid w:val="00606506"/>
    <w:rsid w:val="00606904"/>
    <w:rsid w:val="00614D93"/>
    <w:rsid w:val="00622A85"/>
    <w:rsid w:val="0062332B"/>
    <w:rsid w:val="00633A0F"/>
    <w:rsid w:val="00653533"/>
    <w:rsid w:val="00671609"/>
    <w:rsid w:val="0067658C"/>
    <w:rsid w:val="00687408"/>
    <w:rsid w:val="006C1094"/>
    <w:rsid w:val="006C20C0"/>
    <w:rsid w:val="006D32B2"/>
    <w:rsid w:val="006D3BF9"/>
    <w:rsid w:val="006D78E9"/>
    <w:rsid w:val="006E0A9C"/>
    <w:rsid w:val="006E76B9"/>
    <w:rsid w:val="006F023F"/>
    <w:rsid w:val="006F06AC"/>
    <w:rsid w:val="006F2865"/>
    <w:rsid w:val="007041FB"/>
    <w:rsid w:val="0073230A"/>
    <w:rsid w:val="00754B71"/>
    <w:rsid w:val="00783419"/>
    <w:rsid w:val="00795968"/>
    <w:rsid w:val="007A20BD"/>
    <w:rsid w:val="007A4E86"/>
    <w:rsid w:val="007A641C"/>
    <w:rsid w:val="007A71DA"/>
    <w:rsid w:val="007B40BA"/>
    <w:rsid w:val="007D3FD6"/>
    <w:rsid w:val="007F2A23"/>
    <w:rsid w:val="007F5956"/>
    <w:rsid w:val="007F6365"/>
    <w:rsid w:val="008269B9"/>
    <w:rsid w:val="008500C8"/>
    <w:rsid w:val="00856F57"/>
    <w:rsid w:val="00875A41"/>
    <w:rsid w:val="008906FA"/>
    <w:rsid w:val="008B586B"/>
    <w:rsid w:val="008D450E"/>
    <w:rsid w:val="008E45D9"/>
    <w:rsid w:val="00924AA7"/>
    <w:rsid w:val="00956E94"/>
    <w:rsid w:val="009B0728"/>
    <w:rsid w:val="009C4215"/>
    <w:rsid w:val="009C65AA"/>
    <w:rsid w:val="009F0D10"/>
    <w:rsid w:val="009F30D6"/>
    <w:rsid w:val="00A07A67"/>
    <w:rsid w:val="00A21AAC"/>
    <w:rsid w:val="00A23D79"/>
    <w:rsid w:val="00A34BAA"/>
    <w:rsid w:val="00A63527"/>
    <w:rsid w:val="00AA67F7"/>
    <w:rsid w:val="00AD0796"/>
    <w:rsid w:val="00AF358C"/>
    <w:rsid w:val="00B143E5"/>
    <w:rsid w:val="00B307AA"/>
    <w:rsid w:val="00B353FE"/>
    <w:rsid w:val="00B57A47"/>
    <w:rsid w:val="00B66CD8"/>
    <w:rsid w:val="00B71E96"/>
    <w:rsid w:val="00B84ABE"/>
    <w:rsid w:val="00B87D2A"/>
    <w:rsid w:val="00BA0AB2"/>
    <w:rsid w:val="00BB1466"/>
    <w:rsid w:val="00BB2261"/>
    <w:rsid w:val="00BB4DD8"/>
    <w:rsid w:val="00BC1EF8"/>
    <w:rsid w:val="00BE7857"/>
    <w:rsid w:val="00C1408A"/>
    <w:rsid w:val="00C169BF"/>
    <w:rsid w:val="00C512D0"/>
    <w:rsid w:val="00C53CCE"/>
    <w:rsid w:val="00C63E50"/>
    <w:rsid w:val="00C6702B"/>
    <w:rsid w:val="00C802D6"/>
    <w:rsid w:val="00C91C1F"/>
    <w:rsid w:val="00C94761"/>
    <w:rsid w:val="00C9548C"/>
    <w:rsid w:val="00CB1A76"/>
    <w:rsid w:val="00CB6904"/>
    <w:rsid w:val="00CE66FB"/>
    <w:rsid w:val="00CF00B3"/>
    <w:rsid w:val="00CF4A63"/>
    <w:rsid w:val="00D0761B"/>
    <w:rsid w:val="00D25A00"/>
    <w:rsid w:val="00D306FA"/>
    <w:rsid w:val="00D517EF"/>
    <w:rsid w:val="00D61C2F"/>
    <w:rsid w:val="00D73357"/>
    <w:rsid w:val="00D73A21"/>
    <w:rsid w:val="00D84CEC"/>
    <w:rsid w:val="00D94C26"/>
    <w:rsid w:val="00DF5987"/>
    <w:rsid w:val="00E50623"/>
    <w:rsid w:val="00E77B62"/>
    <w:rsid w:val="00E80436"/>
    <w:rsid w:val="00E8487A"/>
    <w:rsid w:val="00E959D8"/>
    <w:rsid w:val="00E978AD"/>
    <w:rsid w:val="00EB242A"/>
    <w:rsid w:val="00ED5CA6"/>
    <w:rsid w:val="00EE3B37"/>
    <w:rsid w:val="00F006C1"/>
    <w:rsid w:val="00F01C90"/>
    <w:rsid w:val="00F04AAB"/>
    <w:rsid w:val="00F359C3"/>
    <w:rsid w:val="00F63F1E"/>
    <w:rsid w:val="00F74713"/>
    <w:rsid w:val="00F829E0"/>
    <w:rsid w:val="00F87EFA"/>
    <w:rsid w:val="00FC0A66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F4A6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CF4A63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F4A63"/>
    <w:pPr>
      <w:numPr>
        <w:numId w:val="6"/>
      </w:numPr>
      <w:spacing w:after="24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F4A6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CF4A63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F4A63"/>
    <w:pPr>
      <w:numPr>
        <w:numId w:val="6"/>
      </w:num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50D222-3ED2-4140-9E9A-C89B35C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Safety Program for Perinatal Care: Board Checklist</vt:lpstr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Safety Program for Perinatal Care: Board Checklist</dc:title>
  <dc:subject>Board Checklist</dc:subject>
  <dc:creator>Agency for Healthcare Research and Quality</dc:creator>
  <cp:keywords>L&amp;D,CUSP,perinatal care,just culture,perinatal safety</cp:keywords>
  <cp:lastModifiedBy>Windows User</cp:lastModifiedBy>
  <cp:revision>2</cp:revision>
  <cp:lastPrinted>2012-08-01T17:27:00Z</cp:lastPrinted>
  <dcterms:created xsi:type="dcterms:W3CDTF">2017-03-30T13:47:00Z</dcterms:created>
  <dcterms:modified xsi:type="dcterms:W3CDTF">2017-03-30T13:47:00Z</dcterms:modified>
</cp:coreProperties>
</file>