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7C8BC" w14:textId="77777777" w:rsidR="00E2580D" w:rsidRDefault="00E2580D" w:rsidP="00AF4ECA">
      <w:pPr>
        <w:pStyle w:val="Heading1"/>
      </w:pPr>
      <w:bookmarkStart w:id="0" w:name="_GoBack"/>
      <w:bookmarkEnd w:id="0"/>
      <w:r w:rsidRPr="00CF24E1">
        <w:t>Freq</w:t>
      </w:r>
      <w:r>
        <w:t>uently Asked Questions (FAQ) on</w:t>
      </w:r>
    </w:p>
    <w:p w14:paraId="210CC55E" w14:textId="0A05BC31" w:rsidR="00E2580D" w:rsidRPr="00CF24E1" w:rsidRDefault="00E2580D" w:rsidP="00AF4ECA">
      <w:pPr>
        <w:pStyle w:val="Heading1"/>
      </w:pPr>
      <w:r w:rsidRPr="00CF24E1">
        <w:t xml:space="preserve">Bath Basin </w:t>
      </w:r>
      <w:r>
        <w:t xml:space="preserve">Use </w:t>
      </w:r>
      <w:r w:rsidRPr="00CF24E1">
        <w:t>in Long-</w:t>
      </w:r>
      <w:r w:rsidR="005F4302">
        <w:t>T</w:t>
      </w:r>
      <w:r w:rsidRPr="00CF24E1">
        <w:t>erm Care Facilities</w:t>
      </w:r>
    </w:p>
    <w:p w14:paraId="01FC5E4D" w14:textId="3A16714F" w:rsidR="00E2580D" w:rsidRPr="00E2580D" w:rsidRDefault="00E2580D" w:rsidP="00AF4ECA">
      <w:pPr>
        <w:widowControl w:val="0"/>
        <w:autoSpaceDE w:val="0"/>
        <w:autoSpaceDN w:val="0"/>
        <w:adjustRightInd w:val="0"/>
        <w:spacing w:before="240" w:after="240" w:line="276" w:lineRule="auto"/>
        <w:rPr>
          <w:rFonts w:ascii="Calibri" w:hAnsi="Calibri" w:cs="Calibri"/>
          <w:color w:val="1F497D"/>
          <w:sz w:val="22"/>
          <w:szCs w:val="22"/>
        </w:rPr>
      </w:pPr>
      <w:r w:rsidRPr="00E2580D">
        <w:rPr>
          <w:rFonts w:ascii="Calibri" w:hAnsi="Calibri" w:cs="Calibri"/>
          <w:b/>
          <w:i/>
          <w:sz w:val="22"/>
          <w:szCs w:val="22"/>
        </w:rPr>
        <w:t xml:space="preserve">Disclaimer: </w:t>
      </w:r>
      <w:r w:rsidR="00F814A9" w:rsidRPr="00C65E9E">
        <w:rPr>
          <w:rFonts w:ascii="Calibri" w:hAnsi="Calibri" w:cs="Calibri"/>
          <w:sz w:val="22"/>
          <w:szCs w:val="22"/>
        </w:rPr>
        <w:t xml:space="preserve">FAQ answers are based on a combination of scientific evidence and clinical experience and expertise of a </w:t>
      </w:r>
      <w:r w:rsidRPr="00C65E9E">
        <w:rPr>
          <w:rFonts w:ascii="Calibri" w:hAnsi="Calibri" w:cs="Calibri"/>
          <w:sz w:val="22"/>
          <w:szCs w:val="22"/>
        </w:rPr>
        <w:t xml:space="preserve">multidisciplinary </w:t>
      </w:r>
      <w:r w:rsidR="00F814A9" w:rsidRPr="00C65E9E">
        <w:rPr>
          <w:rFonts w:ascii="Calibri" w:hAnsi="Calibri" w:cs="Calibri"/>
          <w:sz w:val="22"/>
          <w:szCs w:val="22"/>
        </w:rPr>
        <w:t>national team</w:t>
      </w:r>
      <w:r w:rsidRPr="00C65E9E">
        <w:rPr>
          <w:rFonts w:ascii="Calibri" w:hAnsi="Calibri" w:cs="Calibri"/>
          <w:sz w:val="22"/>
          <w:szCs w:val="22"/>
        </w:rPr>
        <w:t>.</w:t>
      </w:r>
    </w:p>
    <w:p w14:paraId="5A6371AA" w14:textId="19A207D1" w:rsidR="00E2580D" w:rsidRPr="00E2580D" w:rsidRDefault="00E2580D" w:rsidP="00C65E9E">
      <w:pPr>
        <w:widowControl w:val="0"/>
        <w:autoSpaceDE w:val="0"/>
        <w:autoSpaceDN w:val="0"/>
        <w:adjustRightInd w:val="0"/>
        <w:spacing w:after="120" w:line="276" w:lineRule="auto"/>
        <w:rPr>
          <w:rFonts w:ascii="Calibri" w:hAnsi="Calibri" w:cs="Calibri"/>
          <w:sz w:val="22"/>
          <w:szCs w:val="22"/>
        </w:rPr>
      </w:pPr>
      <w:r w:rsidRPr="00E2580D">
        <w:rPr>
          <w:rFonts w:ascii="Calibri" w:hAnsi="Calibri" w:cs="Calibri"/>
          <w:sz w:val="22"/>
          <w:szCs w:val="22"/>
        </w:rPr>
        <w:t>Historically, bathing residents in long-term care (LTC) facilities has been via the use of a bath basin with water and personal hygiene supplies</w:t>
      </w:r>
      <w:r>
        <w:rPr>
          <w:rFonts w:ascii="Calibri" w:hAnsi="Calibri" w:cs="Calibri"/>
          <w:sz w:val="22"/>
          <w:szCs w:val="22"/>
        </w:rPr>
        <w:t>,</w:t>
      </w:r>
      <w:r w:rsidRPr="00E2580D">
        <w:rPr>
          <w:rFonts w:ascii="Calibri" w:hAnsi="Calibri" w:cs="Calibri"/>
          <w:sz w:val="22"/>
          <w:szCs w:val="22"/>
        </w:rPr>
        <w:t xml:space="preserve"> or rinse-free disposable bath wipes. A multidisciplinary team reviewed the literature to determine the optimal evidence-based bathing practices to prevent bath basin contamination. Due to the lack of evidence-based literature</w:t>
      </w:r>
      <w:r w:rsidRPr="00E2580D">
        <w:rPr>
          <w:rStyle w:val="EndnoteReference"/>
          <w:rFonts w:ascii="Calibri" w:hAnsi="Calibri" w:cs="Calibri"/>
          <w:sz w:val="22"/>
          <w:szCs w:val="22"/>
        </w:rPr>
        <w:endnoteReference w:id="1"/>
      </w:r>
      <w:r w:rsidRPr="00E2580D">
        <w:rPr>
          <w:rFonts w:ascii="Calibri" w:hAnsi="Calibri" w:cs="Calibri"/>
          <w:sz w:val="22"/>
          <w:szCs w:val="22"/>
        </w:rPr>
        <w:t xml:space="preserve">, an optimal bathing method for resident hygiene and comfort could not be determined. Instead, the team recommends LTC facilities make decisions based on national recommendations, evidence-based practices and their own risk assessment. </w:t>
      </w:r>
    </w:p>
    <w:p w14:paraId="340C5CB4" w14:textId="77777777" w:rsidR="00E2580D" w:rsidRPr="00E2580D" w:rsidRDefault="00E2580D" w:rsidP="00AF4ECA">
      <w:pPr>
        <w:numPr>
          <w:ilvl w:val="0"/>
          <w:numId w:val="29"/>
        </w:numPr>
        <w:spacing w:before="240" w:line="276" w:lineRule="auto"/>
        <w:rPr>
          <w:rFonts w:ascii="Calibri" w:hAnsi="Calibri" w:cs="Calibri"/>
          <w:b/>
          <w:sz w:val="22"/>
          <w:szCs w:val="22"/>
        </w:rPr>
      </w:pPr>
      <w:r w:rsidRPr="00E2580D">
        <w:rPr>
          <w:rFonts w:ascii="Calibri" w:hAnsi="Calibri" w:cs="Calibri"/>
          <w:b/>
          <w:sz w:val="22"/>
          <w:szCs w:val="22"/>
        </w:rPr>
        <w:t>Should bath basin use be discontinued?</w:t>
      </w:r>
    </w:p>
    <w:p w14:paraId="594D25FA" w14:textId="17FD8494" w:rsidR="00E2580D" w:rsidRPr="00E2580D" w:rsidRDefault="00F814A9" w:rsidP="00AF4ECA">
      <w:pPr>
        <w:spacing w:line="276" w:lineRule="auto"/>
        <w:ind w:left="360"/>
        <w:rPr>
          <w:rFonts w:ascii="Calibri" w:hAnsi="Calibri" w:cs="Calibri"/>
          <w:sz w:val="22"/>
          <w:szCs w:val="22"/>
        </w:rPr>
      </w:pPr>
      <w:r>
        <w:rPr>
          <w:rFonts w:ascii="Calibri" w:hAnsi="Calibri" w:cs="Calibri"/>
          <w:sz w:val="22"/>
          <w:szCs w:val="22"/>
        </w:rPr>
        <w:t>No, t</w:t>
      </w:r>
      <w:r w:rsidR="00E2580D" w:rsidRPr="00E2580D">
        <w:rPr>
          <w:rFonts w:ascii="Calibri" w:hAnsi="Calibri" w:cs="Calibri"/>
          <w:sz w:val="22"/>
          <w:szCs w:val="22"/>
        </w:rPr>
        <w:t>here is no compelling evidence to recommend stopping the use of bath basins for bathing residents. To reduce the possibility of bath basin contamination, ensure that it is properly cleaned and disinfected after each bathing procedure.</w:t>
      </w:r>
    </w:p>
    <w:p w14:paraId="64BE517B" w14:textId="77777777" w:rsidR="00F814A9" w:rsidRPr="00E2580D" w:rsidRDefault="00F814A9" w:rsidP="00F814A9">
      <w:pPr>
        <w:numPr>
          <w:ilvl w:val="0"/>
          <w:numId w:val="29"/>
        </w:numPr>
        <w:spacing w:before="120" w:line="276" w:lineRule="auto"/>
        <w:rPr>
          <w:rFonts w:ascii="Calibri" w:hAnsi="Calibri" w:cs="Calibri"/>
          <w:b/>
          <w:sz w:val="22"/>
          <w:szCs w:val="22"/>
        </w:rPr>
      </w:pPr>
      <w:r w:rsidRPr="00E2580D">
        <w:rPr>
          <w:rFonts w:ascii="Calibri" w:hAnsi="Calibri" w:cs="Calibri"/>
          <w:b/>
          <w:sz w:val="22"/>
          <w:szCs w:val="22"/>
        </w:rPr>
        <w:t>After use, how should the bath basin be cleaned and disinfected?</w:t>
      </w:r>
    </w:p>
    <w:p w14:paraId="7448D6CA" w14:textId="5A975442" w:rsidR="00F814A9" w:rsidRPr="00E2580D" w:rsidRDefault="00F814A9" w:rsidP="00C65E9E">
      <w:pPr>
        <w:spacing w:line="276" w:lineRule="auto"/>
        <w:ind w:left="360"/>
        <w:rPr>
          <w:rFonts w:ascii="Calibri" w:hAnsi="Calibri" w:cs="Calibri"/>
          <w:sz w:val="22"/>
          <w:szCs w:val="22"/>
        </w:rPr>
      </w:pPr>
      <w:r w:rsidRPr="00E2580D">
        <w:rPr>
          <w:rFonts w:ascii="Calibri" w:hAnsi="Calibri" w:cs="Calibri"/>
          <w:sz w:val="22"/>
          <w:szCs w:val="22"/>
        </w:rPr>
        <w:t xml:space="preserve">After use, bath basins should be cleaned/disinfected with a germicidal wipe, per manufacturer’s instructions. Facilities may first want to conduct a risk assessment to determine ideal placement of the germicidal wipes within the resident care areas. Please refer to </w:t>
      </w:r>
      <w:hyperlink r:id="rId9" w:history="1">
        <w:r w:rsidRPr="00E2580D">
          <w:rPr>
            <w:rStyle w:val="Hyperlink"/>
            <w:rFonts w:ascii="Calibri" w:hAnsi="Calibri" w:cs="Calibri"/>
            <w:sz w:val="22"/>
            <w:szCs w:val="22"/>
          </w:rPr>
          <w:t>HICPAC/CDC Guideline on Disinfection and Sterilization</w:t>
        </w:r>
      </w:hyperlink>
      <w:r w:rsidRPr="00E2580D">
        <w:rPr>
          <w:rFonts w:ascii="Calibri" w:hAnsi="Calibri" w:cs="Calibri"/>
          <w:sz w:val="22"/>
          <w:szCs w:val="22"/>
        </w:rPr>
        <w:t xml:space="preserve"> for additional guidance.</w:t>
      </w:r>
      <w:r w:rsidRPr="00F814A9">
        <w:rPr>
          <w:rFonts w:ascii="Calibri" w:hAnsi="Calibri" w:cs="Calibri"/>
          <w:sz w:val="22"/>
          <w:szCs w:val="22"/>
        </w:rPr>
        <w:t xml:space="preserve"> </w:t>
      </w:r>
      <w:r w:rsidRPr="00E2580D">
        <w:rPr>
          <w:rFonts w:ascii="Calibri" w:hAnsi="Calibri" w:cs="Calibri"/>
          <w:sz w:val="22"/>
          <w:szCs w:val="22"/>
        </w:rPr>
        <w:t>No recommendation can be made regarding the use of soap and water for cleaning/disinfecting the bath basin due to the various soap products (e.g., antibacterial vs. regular, liquid vs. bar) and their intended use on the skin, and not on bath basins.</w:t>
      </w:r>
    </w:p>
    <w:p w14:paraId="7FB6D7AF" w14:textId="77777777" w:rsidR="00E2580D" w:rsidRPr="00E2580D" w:rsidRDefault="00E2580D" w:rsidP="00AF4ECA">
      <w:pPr>
        <w:numPr>
          <w:ilvl w:val="0"/>
          <w:numId w:val="29"/>
        </w:numPr>
        <w:spacing w:before="120" w:line="276" w:lineRule="auto"/>
        <w:rPr>
          <w:rFonts w:ascii="Calibri" w:hAnsi="Calibri" w:cs="Calibri"/>
          <w:b/>
          <w:sz w:val="22"/>
          <w:szCs w:val="22"/>
        </w:rPr>
      </w:pPr>
      <w:r w:rsidRPr="00E2580D">
        <w:rPr>
          <w:rFonts w:ascii="Calibri" w:hAnsi="Calibri" w:cs="Calibri"/>
          <w:b/>
          <w:sz w:val="22"/>
          <w:szCs w:val="22"/>
        </w:rPr>
        <w:t>How often should the bath basin be changed?</w:t>
      </w:r>
    </w:p>
    <w:p w14:paraId="247D5C0C" w14:textId="186612DD" w:rsidR="00E2580D" w:rsidRPr="00E2580D" w:rsidRDefault="00E2580D" w:rsidP="00AF4ECA">
      <w:pPr>
        <w:spacing w:line="276" w:lineRule="auto"/>
        <w:ind w:left="360"/>
        <w:rPr>
          <w:rFonts w:ascii="Calibri" w:hAnsi="Calibri" w:cs="Calibri"/>
          <w:sz w:val="22"/>
          <w:szCs w:val="22"/>
        </w:rPr>
      </w:pPr>
      <w:r w:rsidRPr="00E2580D">
        <w:rPr>
          <w:rFonts w:ascii="Calibri" w:hAnsi="Calibri" w:cs="Calibri"/>
          <w:sz w:val="22"/>
          <w:szCs w:val="22"/>
        </w:rPr>
        <w:t>Bath basins, from a cleanliness perspective, should be changed per facility policy</w:t>
      </w:r>
      <w:r w:rsidR="00FA5545">
        <w:rPr>
          <w:rFonts w:ascii="Calibri" w:hAnsi="Calibri" w:cs="Calibri"/>
          <w:sz w:val="22"/>
          <w:szCs w:val="22"/>
        </w:rPr>
        <w:t xml:space="preserve"> or when damaged</w:t>
      </w:r>
      <w:r w:rsidRPr="00E2580D">
        <w:rPr>
          <w:rFonts w:ascii="Calibri" w:hAnsi="Calibri" w:cs="Calibri"/>
          <w:sz w:val="22"/>
          <w:szCs w:val="22"/>
        </w:rPr>
        <w:t>. A resident identifier (</w:t>
      </w:r>
      <w:r w:rsidR="00FA5545">
        <w:rPr>
          <w:rFonts w:ascii="Calibri" w:hAnsi="Calibri" w:cs="Calibri"/>
          <w:sz w:val="22"/>
          <w:szCs w:val="22"/>
        </w:rPr>
        <w:t>i.e</w:t>
      </w:r>
      <w:r w:rsidRPr="00E2580D">
        <w:rPr>
          <w:rFonts w:ascii="Calibri" w:hAnsi="Calibri" w:cs="Calibri"/>
          <w:sz w:val="22"/>
          <w:szCs w:val="22"/>
        </w:rPr>
        <w:t>., name, room number and basin date) should be clearly displayed. The bath basin should be discarded if it is heavily soiled and cannot be cleaned/disinfected</w:t>
      </w:r>
      <w:r w:rsidR="00FA5545">
        <w:rPr>
          <w:rFonts w:ascii="Calibri" w:hAnsi="Calibri" w:cs="Calibri"/>
          <w:sz w:val="22"/>
          <w:szCs w:val="22"/>
        </w:rPr>
        <w:t>,</w:t>
      </w:r>
      <w:r w:rsidRPr="00E2580D">
        <w:rPr>
          <w:rFonts w:ascii="Calibri" w:hAnsi="Calibri" w:cs="Calibri"/>
          <w:sz w:val="22"/>
          <w:szCs w:val="22"/>
        </w:rPr>
        <w:t xml:space="preserve"> or is damaged.  </w:t>
      </w:r>
    </w:p>
    <w:p w14:paraId="7F19F0C5" w14:textId="77777777" w:rsidR="00E2580D" w:rsidRPr="00E2580D" w:rsidRDefault="00E2580D" w:rsidP="00AF4ECA">
      <w:pPr>
        <w:numPr>
          <w:ilvl w:val="0"/>
          <w:numId w:val="29"/>
        </w:numPr>
        <w:spacing w:before="120" w:line="276" w:lineRule="auto"/>
        <w:rPr>
          <w:rFonts w:ascii="Calibri" w:hAnsi="Calibri" w:cs="Calibri"/>
          <w:b/>
          <w:sz w:val="22"/>
          <w:szCs w:val="22"/>
        </w:rPr>
      </w:pPr>
      <w:r w:rsidRPr="00E2580D">
        <w:rPr>
          <w:rFonts w:ascii="Calibri" w:hAnsi="Calibri" w:cs="Calibri"/>
          <w:b/>
          <w:sz w:val="22"/>
          <w:szCs w:val="22"/>
        </w:rPr>
        <w:t>How and where should the bath basin be stored?</w:t>
      </w:r>
    </w:p>
    <w:p w14:paraId="4813B8E7" w14:textId="6D6DB07D" w:rsidR="00F0718C" w:rsidRPr="00E2580D" w:rsidRDefault="00E2580D">
      <w:pPr>
        <w:spacing w:line="276" w:lineRule="auto"/>
        <w:ind w:left="360"/>
        <w:rPr>
          <w:rFonts w:ascii="Calibri" w:hAnsi="Calibri" w:cs="Calibri"/>
          <w:sz w:val="22"/>
          <w:szCs w:val="22"/>
        </w:rPr>
      </w:pPr>
      <w:r w:rsidRPr="00E2580D">
        <w:rPr>
          <w:rFonts w:ascii="Calibri" w:hAnsi="Calibri" w:cs="Calibri"/>
          <w:sz w:val="22"/>
          <w:szCs w:val="22"/>
        </w:rPr>
        <w:t>After cleaning/disinfecting, bath basins should be air dried and then be stored upside-down, in the resident’s room, to prevent airborne contamination.</w:t>
      </w:r>
      <w:r w:rsidR="00AF4ECA">
        <w:rPr>
          <w:rFonts w:ascii="Calibri" w:hAnsi="Calibri" w:cs="Calibri"/>
          <w:sz w:val="22"/>
          <w:szCs w:val="22"/>
        </w:rPr>
        <w:t xml:space="preserve"> </w:t>
      </w:r>
      <w:r w:rsidRPr="00E2580D">
        <w:rPr>
          <w:rFonts w:ascii="Calibri" w:hAnsi="Calibri" w:cs="Calibri"/>
          <w:sz w:val="22"/>
          <w:szCs w:val="22"/>
        </w:rPr>
        <w:t>Alternatively, due to space constraints, it’s acceptable to store the dry basin right-side up and allow for storage of clean personal hygiene items within the container.</w:t>
      </w:r>
      <w:r w:rsidRPr="00AF4ECA">
        <w:rPr>
          <w:rFonts w:ascii="Calibri" w:hAnsi="Calibri" w:cs="Calibri"/>
          <w:sz w:val="22"/>
          <w:szCs w:val="22"/>
        </w:rPr>
        <w:t xml:space="preserve"> </w:t>
      </w:r>
      <w:r w:rsidRPr="00C65E9E">
        <w:rPr>
          <w:rFonts w:ascii="Calibri" w:hAnsi="Calibri" w:cs="Calibri"/>
          <w:sz w:val="22"/>
          <w:szCs w:val="22"/>
        </w:rPr>
        <w:t>Do not</w:t>
      </w:r>
      <w:r w:rsidRPr="00AF4ECA">
        <w:rPr>
          <w:rFonts w:ascii="Calibri" w:hAnsi="Calibri" w:cs="Calibri"/>
          <w:sz w:val="22"/>
          <w:szCs w:val="22"/>
        </w:rPr>
        <w:t xml:space="preserve"> </w:t>
      </w:r>
      <w:r w:rsidRPr="00E2580D">
        <w:rPr>
          <w:rFonts w:ascii="Calibri" w:hAnsi="Calibri" w:cs="Calibri"/>
          <w:sz w:val="22"/>
          <w:szCs w:val="22"/>
        </w:rPr>
        <w:t>use the bath basin as a storage container for other items (e.g., shoes, hair brushes, combs, soap).</w:t>
      </w:r>
    </w:p>
    <w:sectPr w:rsidR="00F0718C" w:rsidRPr="00E2580D" w:rsidSect="005B32C6">
      <w:headerReference w:type="default" r:id="rId10"/>
      <w:footerReference w:type="default" r:id="rId11"/>
      <w:headerReference w:type="first" r:id="rId12"/>
      <w:footerReference w:type="first" r:id="rId13"/>
      <w:endnotePr>
        <w:numFmt w:val="decimal"/>
      </w:endnotePr>
      <w:pgSz w:w="12240" w:h="15840" w:code="1"/>
      <w:pgMar w:top="1350" w:right="1440" w:bottom="1440" w:left="1440"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F8544" w14:textId="77777777" w:rsidR="00FF7320" w:rsidRDefault="00FF7320">
      <w:r>
        <w:separator/>
      </w:r>
    </w:p>
  </w:endnote>
  <w:endnote w:type="continuationSeparator" w:id="0">
    <w:p w14:paraId="53139306" w14:textId="77777777" w:rsidR="00FF7320" w:rsidRDefault="00FF7320">
      <w:r>
        <w:continuationSeparator/>
      </w:r>
    </w:p>
  </w:endnote>
  <w:endnote w:id="1">
    <w:p w14:paraId="39DA61F1" w14:textId="2E4645D5" w:rsidR="00B322C6" w:rsidRDefault="00E2580D" w:rsidP="00C65E9E">
      <w:pPr>
        <w:pStyle w:val="EndnoteText"/>
      </w:pPr>
      <w:r w:rsidRPr="00FF3AB3">
        <w:rPr>
          <w:rStyle w:val="EndnoteReference"/>
          <w:sz w:val="18"/>
        </w:rPr>
        <w:endnoteRef/>
      </w:r>
      <w:r w:rsidRPr="00FF3AB3">
        <w:rPr>
          <w:rFonts w:ascii="Calibri" w:hAnsi="Calibri" w:cs="Calibri"/>
          <w:sz w:val="18"/>
        </w:rPr>
        <w:t xml:space="preserve">The literature </w:t>
      </w:r>
      <w:r w:rsidR="00B322C6" w:rsidRPr="00FF3AB3">
        <w:rPr>
          <w:rFonts w:ascii="Calibri" w:hAnsi="Calibri" w:cs="Calibri"/>
          <w:sz w:val="18"/>
        </w:rPr>
        <w:t>primarily</w:t>
      </w:r>
      <w:r w:rsidRPr="00FF3AB3">
        <w:rPr>
          <w:rFonts w:ascii="Calibri" w:hAnsi="Calibri" w:cs="Calibri"/>
          <w:sz w:val="18"/>
        </w:rPr>
        <w:t xml:space="preserve"> </w:t>
      </w:r>
      <w:r w:rsidR="00B322C6" w:rsidRPr="00FF3AB3">
        <w:rPr>
          <w:rFonts w:ascii="Calibri" w:hAnsi="Calibri" w:cs="Calibri"/>
          <w:sz w:val="18"/>
        </w:rPr>
        <w:t xml:space="preserve">addresses </w:t>
      </w:r>
      <w:r w:rsidRPr="00FF3AB3">
        <w:rPr>
          <w:rFonts w:ascii="Calibri" w:hAnsi="Calibri" w:cs="Calibri"/>
          <w:sz w:val="18"/>
        </w:rPr>
        <w:t xml:space="preserve">resident bathing in acute care, with very few studies focused on the LTC environment. While some studies </w:t>
      </w:r>
      <w:r w:rsidR="00B322C6" w:rsidRPr="00FF3AB3">
        <w:rPr>
          <w:rFonts w:ascii="Calibri" w:hAnsi="Calibri" w:cs="Calibri"/>
          <w:sz w:val="18"/>
        </w:rPr>
        <w:t>found</w:t>
      </w:r>
      <w:r w:rsidRPr="00FF3AB3">
        <w:rPr>
          <w:rFonts w:ascii="Calibri" w:hAnsi="Calibri" w:cs="Calibri"/>
          <w:sz w:val="18"/>
        </w:rPr>
        <w:t xml:space="preserve"> gram-positive and gram-negative organisms on bath basins after resident use, no direct, infection causation link </w:t>
      </w:r>
      <w:r w:rsidR="00B322C6" w:rsidRPr="00FF3AB3">
        <w:rPr>
          <w:rFonts w:ascii="Calibri" w:hAnsi="Calibri" w:cs="Calibri"/>
          <w:sz w:val="18"/>
        </w:rPr>
        <w:t xml:space="preserve">was </w:t>
      </w:r>
      <w:r w:rsidRPr="00FF3AB3">
        <w:rPr>
          <w:rFonts w:ascii="Calibri" w:hAnsi="Calibri" w:cs="Calibri"/>
          <w:sz w:val="18"/>
        </w:rPr>
        <w:t>identified. The multidisciplinary team recommends additional bathing studies be conducted in the LTC environment</w:t>
      </w:r>
      <w:r w:rsidR="00FF3AB3">
        <w:rPr>
          <w:rFonts w:ascii="Calibri" w:hAnsi="Calibri" w:cs="Calibri"/>
          <w:sz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90912" w14:textId="77777777" w:rsidR="005B32C6" w:rsidRDefault="005B32C6" w:rsidP="005B32C6">
    <w:pPr>
      <w:pStyle w:val="Footer"/>
      <w:tabs>
        <w:tab w:val="clear" w:pos="4320"/>
        <w:tab w:val="clear" w:pos="8640"/>
        <w:tab w:val="center" w:pos="4680"/>
        <w:tab w:val="right" w:pos="10530"/>
      </w:tabs>
      <w:rPr>
        <w:lang w:val="en-US"/>
      </w:rPr>
    </w:pPr>
  </w:p>
  <w:p w14:paraId="598DF03F" w14:textId="77777777" w:rsidR="005B32C6" w:rsidRDefault="005022FA" w:rsidP="005B32C6">
    <w:pPr>
      <w:pStyle w:val="Footer"/>
      <w:tabs>
        <w:tab w:val="clear" w:pos="4320"/>
        <w:tab w:val="clear" w:pos="8640"/>
        <w:tab w:val="center" w:pos="4680"/>
        <w:tab w:val="right" w:pos="10530"/>
      </w:tabs>
      <w:rPr>
        <w:lang w:val="en-US"/>
      </w:rPr>
    </w:pPr>
    <w:r>
      <w:rPr>
        <w:noProof/>
        <w:lang w:val="en-US" w:eastAsia="en-US"/>
      </w:rPr>
      <w:drawing>
        <wp:anchor distT="0" distB="0" distL="114300" distR="114300" simplePos="0" relativeHeight="251656704" behindDoc="1" locked="0" layoutInCell="1" allowOverlap="1" wp14:anchorId="2B0267C7" wp14:editId="165403A7">
          <wp:simplePos x="0" y="0"/>
          <wp:positionH relativeFrom="column">
            <wp:posOffset>-2971165</wp:posOffset>
          </wp:positionH>
          <wp:positionV relativeFrom="paragraph">
            <wp:posOffset>363898</wp:posOffset>
          </wp:positionV>
          <wp:extent cx="9822815" cy="542290"/>
          <wp:effectExtent l="0" t="0" r="6985" b="0"/>
          <wp:wrapNone/>
          <wp:docPr id="46" name="Picture 46"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HRQ Foot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2815" cy="542290"/>
                  </a:xfrm>
                  <a:prstGeom prst="rect">
                    <a:avLst/>
                  </a:prstGeom>
                  <a:noFill/>
                </pic:spPr>
              </pic:pic>
            </a:graphicData>
          </a:graphic>
          <wp14:sizeRelH relativeFrom="page">
            <wp14:pctWidth>0</wp14:pctWidth>
          </wp14:sizeRelH>
          <wp14:sizeRelV relativeFrom="page">
            <wp14:pctHeight>0</wp14:pctHeight>
          </wp14:sizeRelV>
        </wp:anchor>
      </w:drawing>
    </w:r>
  </w:p>
  <w:p w14:paraId="354692B4" w14:textId="77777777" w:rsidR="005B32C6" w:rsidRDefault="005B32C6" w:rsidP="005B32C6">
    <w:pPr>
      <w:pStyle w:val="Footer"/>
      <w:tabs>
        <w:tab w:val="clear" w:pos="4320"/>
        <w:tab w:val="clear" w:pos="8640"/>
        <w:tab w:val="center" w:pos="4680"/>
        <w:tab w:val="right" w:pos="10530"/>
      </w:tabs>
      <w:rPr>
        <w:lang w:val="en-US"/>
      </w:rPr>
    </w:pPr>
  </w:p>
  <w:p w14:paraId="6F76D9DB" w14:textId="77777777" w:rsidR="000D27A2" w:rsidRDefault="000D27A2" w:rsidP="005B32C6">
    <w:pPr>
      <w:pStyle w:val="Footer"/>
      <w:tabs>
        <w:tab w:val="clear" w:pos="4320"/>
        <w:tab w:val="clear" w:pos="8640"/>
        <w:tab w:val="center" w:pos="4680"/>
        <w:tab w:val="right" w:pos="10530"/>
      </w:tabs>
      <w:rPr>
        <w:noProof/>
        <w:color w:val="FFFFFF" w:themeColor="background1"/>
        <w:lang w:val="en-US"/>
      </w:rPr>
    </w:pPr>
  </w:p>
  <w:p w14:paraId="3D9097ED" w14:textId="58C2FF29" w:rsidR="005B32C6" w:rsidRPr="005022FA" w:rsidRDefault="005B32C6" w:rsidP="005022FA">
    <w:pPr>
      <w:pStyle w:val="Footer"/>
      <w:tabs>
        <w:tab w:val="clear" w:pos="4320"/>
        <w:tab w:val="clear" w:pos="8640"/>
        <w:tab w:val="right" w:pos="10080"/>
      </w:tabs>
      <w:ind w:left="-630" w:right="-720"/>
      <w:rPr>
        <w:noProof/>
        <w:color w:val="FFFFFF" w:themeColor="background1"/>
        <w:sz w:val="20"/>
        <w:szCs w:val="20"/>
        <w:lang w:val="en-US"/>
      </w:rPr>
    </w:pPr>
    <w:r w:rsidRPr="005022FA">
      <w:rPr>
        <w:sz w:val="20"/>
        <w:szCs w:val="20"/>
        <w:lang w:val="en-US"/>
      </w:rPr>
      <w:t xml:space="preserve">AHRQ Safety Program for </w:t>
    </w:r>
    <w:r w:rsidR="005022FA" w:rsidRPr="005022FA">
      <w:rPr>
        <w:sz w:val="20"/>
        <w:szCs w:val="20"/>
        <w:lang w:val="en-US"/>
      </w:rPr>
      <w:t>Long-Term Care: HAIs/CAUTI</w:t>
    </w:r>
    <w:r w:rsidR="005022FA" w:rsidRPr="005022FA">
      <w:rPr>
        <w:sz w:val="20"/>
        <w:szCs w:val="20"/>
        <w:lang w:val="en-US"/>
      </w:rPr>
      <w:tab/>
    </w:r>
    <w:r w:rsidRPr="005022FA">
      <w:rPr>
        <w:color w:val="FFFFFF" w:themeColor="background1"/>
        <w:sz w:val="20"/>
        <w:szCs w:val="20"/>
        <w:lang w:val="en-US"/>
      </w:rPr>
      <w:fldChar w:fldCharType="begin"/>
    </w:r>
    <w:r w:rsidRPr="005022FA">
      <w:rPr>
        <w:color w:val="FFFFFF" w:themeColor="background1"/>
        <w:sz w:val="20"/>
        <w:szCs w:val="20"/>
        <w:lang w:val="en-US"/>
      </w:rPr>
      <w:instrText xml:space="preserve"> PAGE   \* MERGEFORMAT </w:instrText>
    </w:r>
    <w:r w:rsidRPr="005022FA">
      <w:rPr>
        <w:color w:val="FFFFFF" w:themeColor="background1"/>
        <w:sz w:val="20"/>
        <w:szCs w:val="20"/>
        <w:lang w:val="en-US"/>
      </w:rPr>
      <w:fldChar w:fldCharType="separate"/>
    </w:r>
    <w:r w:rsidR="00C65E9E">
      <w:rPr>
        <w:noProof/>
        <w:color w:val="FFFFFF" w:themeColor="background1"/>
        <w:sz w:val="20"/>
        <w:szCs w:val="20"/>
        <w:lang w:val="en-US"/>
      </w:rPr>
      <w:t>2</w:t>
    </w:r>
    <w:r w:rsidRPr="005022FA">
      <w:rPr>
        <w:noProof/>
        <w:color w:val="FFFFFF" w:themeColor="background1"/>
        <w:sz w:val="20"/>
        <w:szCs w:val="20"/>
        <w:lang w:val="en-US"/>
      </w:rPr>
      <w:fldChar w:fldCharType="end"/>
    </w:r>
  </w:p>
  <w:p w14:paraId="6F213231" w14:textId="77777777" w:rsidR="005B32C6" w:rsidRDefault="005B32C6" w:rsidP="005B32C6">
    <w:pPr>
      <w:pStyle w:val="Footer"/>
      <w:tabs>
        <w:tab w:val="clear" w:pos="4320"/>
        <w:tab w:val="clear" w:pos="8640"/>
        <w:tab w:val="center" w:pos="4680"/>
        <w:tab w:val="right" w:pos="105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0A36C" w14:textId="70F12E9A" w:rsidR="00DD2EB2" w:rsidRDefault="002E6495">
    <w:pPr>
      <w:pStyle w:val="Footer"/>
    </w:pPr>
    <w:r>
      <w:rPr>
        <w:noProof/>
        <w:lang w:val="en-US" w:eastAsia="en-US"/>
      </w:rPr>
      <mc:AlternateContent>
        <mc:Choice Requires="wps">
          <w:drawing>
            <wp:anchor distT="45720" distB="45720" distL="114300" distR="114300" simplePos="0" relativeHeight="251660800" behindDoc="1" locked="0" layoutInCell="1" allowOverlap="1" wp14:anchorId="76E9900C" wp14:editId="5EEF1731">
              <wp:simplePos x="0" y="0"/>
              <wp:positionH relativeFrom="column">
                <wp:posOffset>4279900</wp:posOffset>
              </wp:positionH>
              <wp:positionV relativeFrom="paragraph">
                <wp:posOffset>-328930</wp:posOffset>
              </wp:positionV>
              <wp:extent cx="2922270" cy="49149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491490"/>
                      </a:xfrm>
                      <a:prstGeom prst="rect">
                        <a:avLst/>
                      </a:prstGeom>
                      <a:noFill/>
                      <a:ln w="9525">
                        <a:noFill/>
                        <a:miter lim="800000"/>
                        <a:headEnd/>
                        <a:tailEnd/>
                      </a:ln>
                    </wps:spPr>
                    <wps:txbx>
                      <w:txbxContent>
                        <w:p w14:paraId="41B01DB0" w14:textId="4960291D" w:rsidR="00EA4CBA" w:rsidRPr="00D05867" w:rsidRDefault="00EA4CBA" w:rsidP="00EA4CBA">
                          <w:pPr>
                            <w:jc w:val="right"/>
                            <w:rPr>
                              <w:color w:val="FFFFFF" w:themeColor="background1"/>
                              <w:sz w:val="20"/>
                            </w:rPr>
                          </w:pPr>
                          <w:r w:rsidRPr="00D05867">
                            <w:rPr>
                              <w:color w:val="FFFFFF" w:themeColor="background1"/>
                              <w:sz w:val="20"/>
                            </w:rPr>
                            <w:t xml:space="preserve">AHRQ Pub. </w:t>
                          </w:r>
                          <w:r w:rsidR="005077B2">
                            <w:rPr>
                              <w:color w:val="FFFFFF" w:themeColor="background1"/>
                              <w:sz w:val="20"/>
                            </w:rPr>
                            <w:t>No. 16</w:t>
                          </w:r>
                          <w:r w:rsidR="002E6495">
                            <w:rPr>
                              <w:color w:val="FFFFFF" w:themeColor="background1"/>
                              <w:sz w:val="20"/>
                            </w:rPr>
                            <w:t>(17)</w:t>
                          </w:r>
                          <w:r w:rsidR="005077B2">
                            <w:rPr>
                              <w:color w:val="FFFFFF" w:themeColor="background1"/>
                              <w:sz w:val="20"/>
                            </w:rPr>
                            <w:t>-0003-9</w:t>
                          </w:r>
                          <w:r w:rsidRPr="00D05867">
                            <w:rPr>
                              <w:color w:val="FFFFFF" w:themeColor="background1"/>
                              <w:sz w:val="20"/>
                            </w:rPr>
                            <w:t>-EF</w:t>
                          </w:r>
                        </w:p>
                        <w:p w14:paraId="1C6FBC56" w14:textId="4B2AF0AE" w:rsidR="00EA4CBA" w:rsidRPr="00066676" w:rsidRDefault="002E6495" w:rsidP="00EA4CBA">
                          <w:pPr>
                            <w:jc w:val="right"/>
                            <w:rPr>
                              <w:color w:val="FFFFFF" w:themeColor="background1"/>
                              <w:sz w:val="20"/>
                            </w:rPr>
                          </w:pPr>
                          <w:r>
                            <w:rPr>
                              <w:color w:val="FFFFFF" w:themeColor="background1"/>
                              <w:sz w:val="20"/>
                            </w:rPr>
                            <w:t>March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337pt;margin-top:-25.9pt;width:230.1pt;height:38.7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" filled="f" stroked="f">
              <v:textbox style="mso-fit-shape-to-text:t">
                <w:txbxContent>
                  <w:p w14:paraId="41B01DB0" w14:textId="4960291D" w:rsidR="00EA4CBA" w:rsidRPr="00D05867" w:rsidRDefault="00EA4CBA" w:rsidP="00EA4CBA">
                    <w:pPr>
                      <w:jc w:val="right"/>
                      <w:rPr>
                        <w:color w:val="FFFFFF" w:themeColor="background1"/>
                        <w:sz w:val="20"/>
                      </w:rPr>
                    </w:pPr>
                    <w:r w:rsidRPr="00D05867">
                      <w:rPr>
                        <w:color w:val="FFFFFF" w:themeColor="background1"/>
                        <w:sz w:val="20"/>
                      </w:rPr>
                      <w:t xml:space="preserve">AHRQ Pub. </w:t>
                    </w:r>
                    <w:r w:rsidR="005077B2">
                      <w:rPr>
                        <w:color w:val="FFFFFF" w:themeColor="background1"/>
                        <w:sz w:val="20"/>
                      </w:rPr>
                      <w:t>No. 16</w:t>
                    </w:r>
                    <w:r w:rsidR="002E6495">
                      <w:rPr>
                        <w:color w:val="FFFFFF" w:themeColor="background1"/>
                        <w:sz w:val="20"/>
                      </w:rPr>
                      <w:t>(17)</w:t>
                    </w:r>
                    <w:r w:rsidR="005077B2">
                      <w:rPr>
                        <w:color w:val="FFFFFF" w:themeColor="background1"/>
                        <w:sz w:val="20"/>
                      </w:rPr>
                      <w:t>-0003-9</w:t>
                    </w:r>
                    <w:r w:rsidRPr="00D05867">
                      <w:rPr>
                        <w:color w:val="FFFFFF" w:themeColor="background1"/>
                        <w:sz w:val="20"/>
                      </w:rPr>
                      <w:t>-EF</w:t>
                    </w:r>
                  </w:p>
                  <w:p w14:paraId="1C6FBC56" w14:textId="4B2AF0AE" w:rsidR="00EA4CBA" w:rsidRPr="00066676" w:rsidRDefault="002E6495" w:rsidP="00EA4CBA">
                    <w:pPr>
                      <w:jc w:val="right"/>
                      <w:rPr>
                        <w:color w:val="FFFFFF" w:themeColor="background1"/>
                        <w:sz w:val="20"/>
                      </w:rPr>
                    </w:pPr>
                    <w:r>
                      <w:rPr>
                        <w:color w:val="FFFFFF" w:themeColor="background1"/>
                        <w:sz w:val="20"/>
                      </w:rPr>
                      <w:t>March 2017</w:t>
                    </w:r>
                  </w:p>
                </w:txbxContent>
              </v:textbox>
            </v:shape>
          </w:pict>
        </mc:Fallback>
      </mc:AlternateContent>
    </w:r>
    <w:r>
      <w:rPr>
        <w:noProof/>
        <w:lang w:val="en-US" w:eastAsia="en-US"/>
      </w:rPr>
      <w:drawing>
        <wp:anchor distT="0" distB="0" distL="114300" distR="114300" simplePos="0" relativeHeight="251658752" behindDoc="1" locked="0" layoutInCell="1" allowOverlap="1" wp14:anchorId="4768CA8B" wp14:editId="6F95BFE1">
          <wp:simplePos x="0" y="0"/>
          <wp:positionH relativeFrom="column">
            <wp:posOffset>-907415</wp:posOffset>
          </wp:positionH>
          <wp:positionV relativeFrom="paragraph">
            <wp:posOffset>-721360</wp:posOffset>
          </wp:positionV>
          <wp:extent cx="7851775" cy="743585"/>
          <wp:effectExtent l="0" t="0" r="0" b="0"/>
          <wp:wrapNone/>
          <wp:docPr id="48" name="Picture 48"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HRQ Cover Pag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1775" cy="743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EB823" w14:textId="77777777" w:rsidR="00FF7320" w:rsidRDefault="00FF7320">
      <w:r>
        <w:separator/>
      </w:r>
    </w:p>
  </w:footnote>
  <w:footnote w:type="continuationSeparator" w:id="0">
    <w:p w14:paraId="0CED04DD" w14:textId="77777777" w:rsidR="00FF7320" w:rsidRDefault="00FF7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80196" w14:textId="77777777" w:rsidR="000D27A2" w:rsidRPr="000322BE" w:rsidRDefault="000322BE" w:rsidP="000322BE">
    <w:pPr>
      <w:pStyle w:val="Header"/>
      <w:rPr>
        <w:rFonts w:ascii="Arial" w:hAnsi="Arial" w:cs="Arial"/>
        <w:b/>
        <w:color w:val="FFFFFF" w:themeColor="background1"/>
        <w:sz w:val="32"/>
        <w:szCs w:val="32"/>
      </w:rPr>
    </w:pPr>
    <w:r w:rsidRPr="000322BE">
      <w:rPr>
        <w:rFonts w:ascii="Arial" w:hAnsi="Arial" w:cs="Arial"/>
        <w:b/>
        <w:color w:val="FFFFFF" w:themeColor="background1"/>
        <w:sz w:val="32"/>
        <w:szCs w:val="32"/>
      </w:rPr>
      <w:t>AHRQ Safety Program for Reducing CAUTI in Hospitals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23728" w14:textId="2ED8C65A" w:rsidR="00023253" w:rsidRPr="005022FA" w:rsidRDefault="00EA4CBA" w:rsidP="00D101AA">
    <w:pPr>
      <w:pStyle w:val="Header"/>
      <w:jc w:val="center"/>
    </w:pPr>
    <w:r w:rsidRPr="005022FA">
      <w:rPr>
        <w:noProof/>
      </w:rPr>
      <w:drawing>
        <wp:anchor distT="0" distB="0" distL="114300" distR="114300" simplePos="0" relativeHeight="251657728" behindDoc="1" locked="0" layoutInCell="1" allowOverlap="1" wp14:anchorId="301CE6A6" wp14:editId="673FDFCE">
          <wp:simplePos x="0" y="0"/>
          <wp:positionH relativeFrom="column">
            <wp:posOffset>-961390</wp:posOffset>
          </wp:positionH>
          <wp:positionV relativeFrom="paragraph">
            <wp:posOffset>-1009650</wp:posOffset>
          </wp:positionV>
          <wp:extent cx="7802245" cy="2028825"/>
          <wp:effectExtent l="0" t="0" r="8255" b="9525"/>
          <wp:wrapNone/>
          <wp:docPr id="47" name="Picture 47"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HRQ Cover Pag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245" cy="2028825"/>
                  </a:xfrm>
                  <a:prstGeom prst="rect">
                    <a:avLst/>
                  </a:prstGeom>
                  <a:noFill/>
                </pic:spPr>
              </pic:pic>
            </a:graphicData>
          </a:graphic>
          <wp14:sizeRelH relativeFrom="page">
            <wp14:pctWidth>0</wp14:pctWidth>
          </wp14:sizeRelH>
          <wp14:sizeRelV relativeFrom="page">
            <wp14:pctHeight>0</wp14:pctHeight>
          </wp14:sizeRelV>
        </wp:anchor>
      </w:drawing>
    </w:r>
    <w:r w:rsidR="00646615" w:rsidRPr="005022FA">
      <w:rPr>
        <w:rFonts w:ascii="Arial" w:hAnsi="Arial" w:cs="Arial"/>
        <w:b/>
        <w:color w:val="FFFFFF"/>
        <w:sz w:val="36"/>
        <w:szCs w:val="36"/>
      </w:rPr>
      <w:t xml:space="preserve">AHRQ Safety Program for </w:t>
    </w:r>
    <w:r w:rsidR="005022FA">
      <w:rPr>
        <w:rFonts w:ascii="Arial" w:hAnsi="Arial" w:cs="Arial"/>
        <w:b/>
        <w:color w:val="FFFFFF"/>
        <w:sz w:val="36"/>
        <w:szCs w:val="36"/>
      </w:rPr>
      <w:t>Long-Term Care: HAIs/CAUTI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2901"/>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1">
    <w:nsid w:val="14A9393F"/>
    <w:multiLevelType w:val="hybridMultilevel"/>
    <w:tmpl w:val="B2B2FA9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B20953"/>
    <w:multiLevelType w:val="hybridMultilevel"/>
    <w:tmpl w:val="0352A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F4F8A"/>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4">
    <w:nsid w:val="17F0773D"/>
    <w:multiLevelType w:val="multilevel"/>
    <w:tmpl w:val="7D6284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ill Sans M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ill Sans MT"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6BB0C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B3302DF"/>
    <w:multiLevelType w:val="hybridMultilevel"/>
    <w:tmpl w:val="7B283FF2"/>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EE41D2A"/>
    <w:multiLevelType w:val="multilevel"/>
    <w:tmpl w:val="7D6284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ill Sans M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ill Sans MT"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1512B7E"/>
    <w:multiLevelType w:val="multilevel"/>
    <w:tmpl w:val="1228D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8055344"/>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10">
    <w:nsid w:val="42114ABA"/>
    <w:multiLevelType w:val="multilevel"/>
    <w:tmpl w:val="DC2C2198"/>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11">
    <w:nsid w:val="44221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4E96F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A862BB7"/>
    <w:multiLevelType w:val="hybridMultilevel"/>
    <w:tmpl w:val="998C0E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4C4B92"/>
    <w:multiLevelType w:val="hybridMultilevel"/>
    <w:tmpl w:val="D1764008"/>
    <w:lvl w:ilvl="0" w:tplc="025863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CE2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F86857"/>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17">
    <w:nsid w:val="548B2F5A"/>
    <w:multiLevelType w:val="singleLevel"/>
    <w:tmpl w:val="0409000F"/>
    <w:lvl w:ilvl="0">
      <w:start w:val="1"/>
      <w:numFmt w:val="decimal"/>
      <w:lvlText w:val="%1."/>
      <w:lvlJc w:val="left"/>
      <w:pPr>
        <w:tabs>
          <w:tab w:val="num" w:pos="360"/>
        </w:tabs>
        <w:ind w:left="360" w:hanging="360"/>
      </w:pPr>
    </w:lvl>
  </w:abstractNum>
  <w:abstractNum w:abstractNumId="18">
    <w:nsid w:val="570650FA"/>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19">
    <w:nsid w:val="5FEB76DD"/>
    <w:multiLevelType w:val="hybridMultilevel"/>
    <w:tmpl w:val="A43AD8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35175BA"/>
    <w:multiLevelType w:val="singleLevel"/>
    <w:tmpl w:val="984E7354"/>
    <w:lvl w:ilvl="0">
      <w:start w:val="1"/>
      <w:numFmt w:val="bullet"/>
      <w:lvlText w:val=""/>
      <w:lvlJc w:val="left"/>
      <w:pPr>
        <w:tabs>
          <w:tab w:val="num" w:pos="360"/>
        </w:tabs>
        <w:ind w:left="360" w:hanging="360"/>
      </w:pPr>
      <w:rPr>
        <w:rFonts w:ascii="Symbol" w:hAnsi="Symbol" w:hint="default"/>
        <w:sz w:val="28"/>
      </w:rPr>
    </w:lvl>
  </w:abstractNum>
  <w:abstractNum w:abstractNumId="21">
    <w:nsid w:val="63F445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54D0707"/>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23">
    <w:nsid w:val="6DF9496D"/>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24">
    <w:nsid w:val="6E9F1205"/>
    <w:multiLevelType w:val="hybridMultilevel"/>
    <w:tmpl w:val="7D6284F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DA3113"/>
    <w:multiLevelType w:val="hybridMultilevel"/>
    <w:tmpl w:val="3F6A5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5471FA"/>
    <w:multiLevelType w:val="hybridMultilevel"/>
    <w:tmpl w:val="9B022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387E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DDA7248"/>
    <w:multiLevelType w:val="hybridMultilevel"/>
    <w:tmpl w:val="076635F8"/>
    <w:lvl w:ilvl="0" w:tplc="7A8A618C">
      <w:start w:val="1"/>
      <w:numFmt w:val="decimal"/>
      <w:lvlText w:val="%1."/>
      <w:lvlJc w:val="left"/>
      <w:pPr>
        <w:tabs>
          <w:tab w:val="num" w:pos="360"/>
        </w:tabs>
        <w:ind w:left="360" w:hanging="360"/>
      </w:pPr>
    </w:lvl>
    <w:lvl w:ilvl="1" w:tplc="B9300FCE" w:tentative="1">
      <w:start w:val="1"/>
      <w:numFmt w:val="lowerLetter"/>
      <w:lvlText w:val="%2."/>
      <w:lvlJc w:val="left"/>
      <w:pPr>
        <w:tabs>
          <w:tab w:val="num" w:pos="1080"/>
        </w:tabs>
        <w:ind w:left="1080" w:hanging="360"/>
      </w:pPr>
    </w:lvl>
    <w:lvl w:ilvl="2" w:tplc="B10CCA70" w:tentative="1">
      <w:start w:val="1"/>
      <w:numFmt w:val="lowerRoman"/>
      <w:lvlText w:val="%3."/>
      <w:lvlJc w:val="right"/>
      <w:pPr>
        <w:tabs>
          <w:tab w:val="num" w:pos="1800"/>
        </w:tabs>
        <w:ind w:left="1800" w:hanging="180"/>
      </w:pPr>
    </w:lvl>
    <w:lvl w:ilvl="3" w:tplc="D6784208" w:tentative="1">
      <w:start w:val="1"/>
      <w:numFmt w:val="decimal"/>
      <w:lvlText w:val="%4."/>
      <w:lvlJc w:val="left"/>
      <w:pPr>
        <w:tabs>
          <w:tab w:val="num" w:pos="2520"/>
        </w:tabs>
        <w:ind w:left="2520" w:hanging="360"/>
      </w:pPr>
    </w:lvl>
    <w:lvl w:ilvl="4" w:tplc="9A1A4F74" w:tentative="1">
      <w:start w:val="1"/>
      <w:numFmt w:val="lowerLetter"/>
      <w:lvlText w:val="%5."/>
      <w:lvlJc w:val="left"/>
      <w:pPr>
        <w:tabs>
          <w:tab w:val="num" w:pos="3240"/>
        </w:tabs>
        <w:ind w:left="3240" w:hanging="360"/>
      </w:pPr>
    </w:lvl>
    <w:lvl w:ilvl="5" w:tplc="7DF80A6C" w:tentative="1">
      <w:start w:val="1"/>
      <w:numFmt w:val="lowerRoman"/>
      <w:lvlText w:val="%6."/>
      <w:lvlJc w:val="right"/>
      <w:pPr>
        <w:tabs>
          <w:tab w:val="num" w:pos="3960"/>
        </w:tabs>
        <w:ind w:left="3960" w:hanging="180"/>
      </w:pPr>
    </w:lvl>
    <w:lvl w:ilvl="6" w:tplc="1B20F3D6" w:tentative="1">
      <w:start w:val="1"/>
      <w:numFmt w:val="decimal"/>
      <w:lvlText w:val="%7."/>
      <w:lvlJc w:val="left"/>
      <w:pPr>
        <w:tabs>
          <w:tab w:val="num" w:pos="4680"/>
        </w:tabs>
        <w:ind w:left="4680" w:hanging="360"/>
      </w:pPr>
    </w:lvl>
    <w:lvl w:ilvl="7" w:tplc="0BA6402A" w:tentative="1">
      <w:start w:val="1"/>
      <w:numFmt w:val="lowerLetter"/>
      <w:lvlText w:val="%8."/>
      <w:lvlJc w:val="left"/>
      <w:pPr>
        <w:tabs>
          <w:tab w:val="num" w:pos="5400"/>
        </w:tabs>
        <w:ind w:left="5400" w:hanging="360"/>
      </w:pPr>
    </w:lvl>
    <w:lvl w:ilvl="8" w:tplc="DE342116" w:tentative="1">
      <w:start w:val="1"/>
      <w:numFmt w:val="lowerRoman"/>
      <w:lvlText w:val="%9."/>
      <w:lvlJc w:val="right"/>
      <w:pPr>
        <w:tabs>
          <w:tab w:val="num" w:pos="6120"/>
        </w:tabs>
        <w:ind w:left="6120" w:hanging="180"/>
      </w:pPr>
    </w:lvl>
  </w:abstractNum>
  <w:num w:numId="1">
    <w:abstractNumId w:val="28"/>
  </w:num>
  <w:num w:numId="2">
    <w:abstractNumId w:val="12"/>
  </w:num>
  <w:num w:numId="3">
    <w:abstractNumId w:val="17"/>
  </w:num>
  <w:num w:numId="4">
    <w:abstractNumId w:val="11"/>
  </w:num>
  <w:num w:numId="5">
    <w:abstractNumId w:val="27"/>
  </w:num>
  <w:num w:numId="6">
    <w:abstractNumId w:val="5"/>
  </w:num>
  <w:num w:numId="7">
    <w:abstractNumId w:val="21"/>
  </w:num>
  <w:num w:numId="8">
    <w:abstractNumId w:val="15"/>
  </w:num>
  <w:num w:numId="9">
    <w:abstractNumId w:val="20"/>
  </w:num>
  <w:num w:numId="10">
    <w:abstractNumId w:val="6"/>
  </w:num>
  <w:num w:numId="11">
    <w:abstractNumId w:val="24"/>
  </w:num>
  <w:num w:numId="12">
    <w:abstractNumId w:val="4"/>
  </w:num>
  <w:num w:numId="13">
    <w:abstractNumId w:val="10"/>
  </w:num>
  <w:num w:numId="14">
    <w:abstractNumId w:val="1"/>
  </w:num>
  <w:num w:numId="15">
    <w:abstractNumId w:val="7"/>
  </w:num>
  <w:num w:numId="16">
    <w:abstractNumId w:val="8"/>
  </w:num>
  <w:num w:numId="17">
    <w:abstractNumId w:val="13"/>
  </w:num>
  <w:num w:numId="18">
    <w:abstractNumId w:val="19"/>
  </w:num>
  <w:num w:numId="19">
    <w:abstractNumId w:val="23"/>
  </w:num>
  <w:num w:numId="20">
    <w:abstractNumId w:val="9"/>
  </w:num>
  <w:num w:numId="21">
    <w:abstractNumId w:val="0"/>
  </w:num>
  <w:num w:numId="22">
    <w:abstractNumId w:val="18"/>
  </w:num>
  <w:num w:numId="23">
    <w:abstractNumId w:val="16"/>
  </w:num>
  <w:num w:numId="24">
    <w:abstractNumId w:val="2"/>
  </w:num>
  <w:num w:numId="25">
    <w:abstractNumId w:val="22"/>
  </w:num>
  <w:num w:numId="26">
    <w:abstractNumId w:val="26"/>
  </w:num>
  <w:num w:numId="27">
    <w:abstractNumId w:val="3"/>
  </w:num>
  <w:num w:numId="28">
    <w:abstractNumId w:val="1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0D"/>
    <w:rsid w:val="00023253"/>
    <w:rsid w:val="000322BE"/>
    <w:rsid w:val="000334EF"/>
    <w:rsid w:val="000400D7"/>
    <w:rsid w:val="0004525C"/>
    <w:rsid w:val="00045AAF"/>
    <w:rsid w:val="00075AEA"/>
    <w:rsid w:val="00094B4B"/>
    <w:rsid w:val="000B1738"/>
    <w:rsid w:val="000D27A2"/>
    <w:rsid w:val="000D5329"/>
    <w:rsid w:val="00113731"/>
    <w:rsid w:val="00113FEB"/>
    <w:rsid w:val="0012470E"/>
    <w:rsid w:val="001255C5"/>
    <w:rsid w:val="001318E2"/>
    <w:rsid w:val="00155D00"/>
    <w:rsid w:val="0017167F"/>
    <w:rsid w:val="0018593E"/>
    <w:rsid w:val="001A09B1"/>
    <w:rsid w:val="001C2605"/>
    <w:rsid w:val="001F7AC9"/>
    <w:rsid w:val="00220E30"/>
    <w:rsid w:val="002326A5"/>
    <w:rsid w:val="00240691"/>
    <w:rsid w:val="00257A93"/>
    <w:rsid w:val="00272AD0"/>
    <w:rsid w:val="00272E13"/>
    <w:rsid w:val="002771FF"/>
    <w:rsid w:val="002920C8"/>
    <w:rsid w:val="002C32C2"/>
    <w:rsid w:val="002C676A"/>
    <w:rsid w:val="002D15E9"/>
    <w:rsid w:val="002E6495"/>
    <w:rsid w:val="003024E3"/>
    <w:rsid w:val="003237AD"/>
    <w:rsid w:val="00334E20"/>
    <w:rsid w:val="00342DA2"/>
    <w:rsid w:val="00354981"/>
    <w:rsid w:val="00375F93"/>
    <w:rsid w:val="00396729"/>
    <w:rsid w:val="00414839"/>
    <w:rsid w:val="0044378C"/>
    <w:rsid w:val="004437A6"/>
    <w:rsid w:val="00445DA8"/>
    <w:rsid w:val="00450B95"/>
    <w:rsid w:val="00451EF1"/>
    <w:rsid w:val="00456609"/>
    <w:rsid w:val="00467290"/>
    <w:rsid w:val="004768D0"/>
    <w:rsid w:val="004B3ACD"/>
    <w:rsid w:val="004B6B49"/>
    <w:rsid w:val="004D1380"/>
    <w:rsid w:val="004E3F60"/>
    <w:rsid w:val="004F4972"/>
    <w:rsid w:val="004F5205"/>
    <w:rsid w:val="00501D7A"/>
    <w:rsid w:val="005022FA"/>
    <w:rsid w:val="005077B2"/>
    <w:rsid w:val="00525104"/>
    <w:rsid w:val="005629EC"/>
    <w:rsid w:val="00571538"/>
    <w:rsid w:val="00582357"/>
    <w:rsid w:val="005A35B9"/>
    <w:rsid w:val="005B32C6"/>
    <w:rsid w:val="005F35E6"/>
    <w:rsid w:val="005F4302"/>
    <w:rsid w:val="00624255"/>
    <w:rsid w:val="00646615"/>
    <w:rsid w:val="00651B5E"/>
    <w:rsid w:val="006528C1"/>
    <w:rsid w:val="0067602A"/>
    <w:rsid w:val="006871F5"/>
    <w:rsid w:val="0069760C"/>
    <w:rsid w:val="006C77AB"/>
    <w:rsid w:val="006D5A6A"/>
    <w:rsid w:val="006E7370"/>
    <w:rsid w:val="00712E66"/>
    <w:rsid w:val="00721C51"/>
    <w:rsid w:val="007404CC"/>
    <w:rsid w:val="00745AD8"/>
    <w:rsid w:val="00790DE9"/>
    <w:rsid w:val="007E2A00"/>
    <w:rsid w:val="00801ACF"/>
    <w:rsid w:val="00822577"/>
    <w:rsid w:val="008B1273"/>
    <w:rsid w:val="008D7C56"/>
    <w:rsid w:val="009205EC"/>
    <w:rsid w:val="009304C5"/>
    <w:rsid w:val="009452BD"/>
    <w:rsid w:val="00990CD8"/>
    <w:rsid w:val="009C67D3"/>
    <w:rsid w:val="00A05D71"/>
    <w:rsid w:val="00A33831"/>
    <w:rsid w:val="00A416F2"/>
    <w:rsid w:val="00A47607"/>
    <w:rsid w:val="00A9293D"/>
    <w:rsid w:val="00A96CD3"/>
    <w:rsid w:val="00AF16B3"/>
    <w:rsid w:val="00AF4ECA"/>
    <w:rsid w:val="00AF586B"/>
    <w:rsid w:val="00B120FF"/>
    <w:rsid w:val="00B26494"/>
    <w:rsid w:val="00B322C6"/>
    <w:rsid w:val="00B455CC"/>
    <w:rsid w:val="00B5480E"/>
    <w:rsid w:val="00B74EE1"/>
    <w:rsid w:val="00B85BCF"/>
    <w:rsid w:val="00BA4C33"/>
    <w:rsid w:val="00C05508"/>
    <w:rsid w:val="00C42F65"/>
    <w:rsid w:val="00C65E9E"/>
    <w:rsid w:val="00C83F98"/>
    <w:rsid w:val="00CD5CEB"/>
    <w:rsid w:val="00CE5415"/>
    <w:rsid w:val="00CE73D0"/>
    <w:rsid w:val="00D043BB"/>
    <w:rsid w:val="00D101AA"/>
    <w:rsid w:val="00D23014"/>
    <w:rsid w:val="00D80FEA"/>
    <w:rsid w:val="00DA3B73"/>
    <w:rsid w:val="00DC3FD9"/>
    <w:rsid w:val="00DD2EB2"/>
    <w:rsid w:val="00DE17E7"/>
    <w:rsid w:val="00DF77D1"/>
    <w:rsid w:val="00E2580D"/>
    <w:rsid w:val="00E5401C"/>
    <w:rsid w:val="00E54515"/>
    <w:rsid w:val="00EA4CBA"/>
    <w:rsid w:val="00ED5C17"/>
    <w:rsid w:val="00ED7A1B"/>
    <w:rsid w:val="00F0718C"/>
    <w:rsid w:val="00F12A57"/>
    <w:rsid w:val="00F229E1"/>
    <w:rsid w:val="00F43C25"/>
    <w:rsid w:val="00F45330"/>
    <w:rsid w:val="00F467BE"/>
    <w:rsid w:val="00F814A9"/>
    <w:rsid w:val="00F931D7"/>
    <w:rsid w:val="00F954A0"/>
    <w:rsid w:val="00FA5545"/>
    <w:rsid w:val="00FD35B8"/>
    <w:rsid w:val="00FD5794"/>
    <w:rsid w:val="00FD5D70"/>
    <w:rsid w:val="00FF3AB3"/>
    <w:rsid w:val="00FF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6E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FA"/>
    <w:rPr>
      <w:rFonts w:asciiTheme="minorHAnsi" w:hAnsiTheme="minorHAnsi"/>
      <w:sz w:val="24"/>
      <w:szCs w:val="24"/>
    </w:rPr>
  </w:style>
  <w:style w:type="paragraph" w:styleId="Heading1">
    <w:name w:val="heading 1"/>
    <w:basedOn w:val="Heading2"/>
    <w:next w:val="Normal"/>
    <w:autoRedefine/>
    <w:qFormat/>
    <w:rsid w:val="00AF4ECA"/>
    <w:pPr>
      <w:spacing w:after="120"/>
      <w:jc w:val="center"/>
      <w:outlineLvl w:val="0"/>
    </w:pPr>
    <w:rPr>
      <w:sz w:val="36"/>
      <w:szCs w:val="36"/>
      <w:u w:val="none"/>
    </w:rPr>
  </w:style>
  <w:style w:type="paragraph" w:styleId="Heading2">
    <w:name w:val="heading 2"/>
    <w:basedOn w:val="Normal"/>
    <w:next w:val="Normal"/>
    <w:autoRedefine/>
    <w:qFormat/>
    <w:rsid w:val="005022FA"/>
    <w:pPr>
      <w:keepNext/>
      <w:overflowPunct w:val="0"/>
      <w:autoSpaceDE w:val="0"/>
      <w:autoSpaceDN w:val="0"/>
      <w:adjustRightInd w:val="0"/>
      <w:jc w:val="both"/>
      <w:textAlignment w:val="baseline"/>
      <w:outlineLvl w:val="1"/>
    </w:pPr>
    <w:rPr>
      <w:rFonts w:asciiTheme="majorHAnsi" w:hAnsiTheme="majorHAnsi"/>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jc w:val="both"/>
      <w:textAlignment w:val="baseline"/>
    </w:pPr>
    <w:rPr>
      <w:rFonts w:ascii="Arial" w:hAnsi="Arial"/>
      <w:sz w:val="20"/>
      <w:szCs w:val="20"/>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sz w:val="20"/>
      <w:szCs w:val="20"/>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ind w:left="1170" w:hanging="630"/>
      <w:jc w:val="both"/>
    </w:pPr>
    <w:rPr>
      <w:rFonts w:ascii="Arial" w:hAnsi="Arial"/>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34E20"/>
    <w:rPr>
      <w:rFonts w:ascii="Tahoma" w:hAnsi="Tahoma"/>
      <w:sz w:val="16"/>
      <w:szCs w:val="16"/>
      <w:lang w:val="x-none" w:eastAsia="x-none"/>
    </w:rPr>
  </w:style>
  <w:style w:type="character" w:customStyle="1" w:styleId="BalloonTextChar">
    <w:name w:val="Balloon Text Char"/>
    <w:link w:val="BalloonText"/>
    <w:uiPriority w:val="99"/>
    <w:semiHidden/>
    <w:rsid w:val="00334E20"/>
    <w:rPr>
      <w:rFonts w:ascii="Tahoma" w:hAnsi="Tahoma" w:cs="Tahoma"/>
      <w:sz w:val="16"/>
      <w:szCs w:val="16"/>
    </w:rPr>
  </w:style>
  <w:style w:type="character" w:customStyle="1" w:styleId="HeaderChar">
    <w:name w:val="Header Char"/>
    <w:link w:val="Header"/>
    <w:uiPriority w:val="99"/>
    <w:rsid w:val="00204567"/>
  </w:style>
  <w:style w:type="character" w:customStyle="1" w:styleId="FooterChar">
    <w:name w:val="Footer Char"/>
    <w:link w:val="Footer"/>
    <w:uiPriority w:val="99"/>
    <w:rsid w:val="00204567"/>
    <w:rPr>
      <w:sz w:val="24"/>
      <w:szCs w:val="24"/>
    </w:rPr>
  </w:style>
  <w:style w:type="character" w:styleId="CommentReference">
    <w:name w:val="annotation reference"/>
    <w:uiPriority w:val="99"/>
    <w:semiHidden/>
    <w:unhideWhenUsed/>
    <w:rsid w:val="00467290"/>
    <w:rPr>
      <w:sz w:val="16"/>
      <w:szCs w:val="16"/>
    </w:rPr>
  </w:style>
  <w:style w:type="paragraph" w:styleId="CommentText">
    <w:name w:val="annotation text"/>
    <w:basedOn w:val="Normal"/>
    <w:link w:val="CommentTextChar"/>
    <w:uiPriority w:val="99"/>
    <w:semiHidden/>
    <w:unhideWhenUsed/>
    <w:rsid w:val="00467290"/>
    <w:rPr>
      <w:sz w:val="20"/>
      <w:szCs w:val="20"/>
    </w:rPr>
  </w:style>
  <w:style w:type="character" w:customStyle="1" w:styleId="CommentTextChar">
    <w:name w:val="Comment Text Char"/>
    <w:basedOn w:val="DefaultParagraphFont"/>
    <w:link w:val="CommentText"/>
    <w:uiPriority w:val="99"/>
    <w:semiHidden/>
    <w:rsid w:val="00467290"/>
  </w:style>
  <w:style w:type="paragraph" w:styleId="CommentSubject">
    <w:name w:val="annotation subject"/>
    <w:basedOn w:val="CommentText"/>
    <w:next w:val="CommentText"/>
    <w:link w:val="CommentSubjectChar"/>
    <w:uiPriority w:val="99"/>
    <w:semiHidden/>
    <w:unhideWhenUsed/>
    <w:rsid w:val="00467290"/>
    <w:rPr>
      <w:b/>
      <w:bCs/>
    </w:rPr>
  </w:style>
  <w:style w:type="character" w:customStyle="1" w:styleId="CommentSubjectChar">
    <w:name w:val="Comment Subject Char"/>
    <w:link w:val="CommentSubject"/>
    <w:uiPriority w:val="99"/>
    <w:semiHidden/>
    <w:rsid w:val="00467290"/>
    <w:rPr>
      <w:b/>
      <w:bCs/>
    </w:rPr>
  </w:style>
  <w:style w:type="paragraph" w:styleId="Title">
    <w:name w:val="Title"/>
    <w:basedOn w:val="Heading2"/>
    <w:next w:val="Normal"/>
    <w:link w:val="TitleChar"/>
    <w:autoRedefine/>
    <w:uiPriority w:val="10"/>
    <w:qFormat/>
    <w:rsid w:val="005022FA"/>
    <w:pPr>
      <w:spacing w:after="120"/>
      <w:jc w:val="center"/>
    </w:pPr>
    <w:rPr>
      <w:bCs/>
      <w:sz w:val="36"/>
      <w:szCs w:val="28"/>
      <w:u w:val="none"/>
    </w:rPr>
  </w:style>
  <w:style w:type="character" w:customStyle="1" w:styleId="TitleChar">
    <w:name w:val="Title Char"/>
    <w:link w:val="Title"/>
    <w:uiPriority w:val="10"/>
    <w:rsid w:val="005022FA"/>
    <w:rPr>
      <w:rFonts w:asciiTheme="majorHAnsi" w:hAnsiTheme="majorHAnsi"/>
      <w:b/>
      <w:bCs/>
      <w:sz w:val="36"/>
      <w:szCs w:val="28"/>
    </w:rPr>
  </w:style>
  <w:style w:type="table" w:styleId="TableGrid">
    <w:name w:val="Table Grid"/>
    <w:basedOn w:val="TableNormal"/>
    <w:uiPriority w:val="59"/>
    <w:rsid w:val="00DA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4378C"/>
    <w:pPr>
      <w:spacing w:after="200" w:line="276" w:lineRule="auto"/>
      <w:ind w:left="720"/>
      <w:contextualSpacing/>
    </w:pPr>
    <w:rPr>
      <w:rFonts w:ascii="Calibri" w:eastAsia="Calibri" w:hAnsi="Calibri"/>
      <w:sz w:val="22"/>
      <w:szCs w:val="22"/>
    </w:rPr>
  </w:style>
  <w:style w:type="character" w:styleId="Hyperlink">
    <w:name w:val="Hyperlink"/>
    <w:uiPriority w:val="99"/>
    <w:rsid w:val="0044378C"/>
    <w:rPr>
      <w:color w:val="0000FF"/>
      <w:u w:val="single"/>
    </w:rPr>
  </w:style>
  <w:style w:type="character" w:styleId="FollowedHyperlink">
    <w:name w:val="FollowedHyperlink"/>
    <w:basedOn w:val="DefaultParagraphFont"/>
    <w:uiPriority w:val="99"/>
    <w:semiHidden/>
    <w:unhideWhenUsed/>
    <w:rsid w:val="00B26494"/>
    <w:rPr>
      <w:color w:val="954F72" w:themeColor="followedHyperlink"/>
      <w:u w:val="single"/>
    </w:rPr>
  </w:style>
  <w:style w:type="paragraph" w:styleId="NoSpacing">
    <w:name w:val="No Spacing"/>
    <w:uiPriority w:val="1"/>
    <w:qFormat/>
    <w:rsid w:val="005022FA"/>
    <w:rPr>
      <w:rFonts w:asciiTheme="minorHAnsi" w:hAnsiTheme="minorHAnsi"/>
      <w:sz w:val="24"/>
      <w:szCs w:val="24"/>
    </w:rPr>
  </w:style>
  <w:style w:type="paragraph" w:styleId="EndnoteText">
    <w:name w:val="endnote text"/>
    <w:basedOn w:val="Normal"/>
    <w:link w:val="EndnoteTextChar"/>
    <w:uiPriority w:val="99"/>
    <w:semiHidden/>
    <w:unhideWhenUsed/>
    <w:rsid w:val="00E2580D"/>
    <w:pPr>
      <w:spacing w:after="200"/>
    </w:pPr>
    <w:rPr>
      <w:rFonts w:ascii="Arial" w:eastAsia="Cambria" w:hAnsi="Arial"/>
      <w:sz w:val="20"/>
      <w:szCs w:val="20"/>
    </w:rPr>
  </w:style>
  <w:style w:type="character" w:customStyle="1" w:styleId="EndnoteTextChar">
    <w:name w:val="Endnote Text Char"/>
    <w:basedOn w:val="DefaultParagraphFont"/>
    <w:link w:val="EndnoteText"/>
    <w:uiPriority w:val="99"/>
    <w:semiHidden/>
    <w:rsid w:val="00E2580D"/>
    <w:rPr>
      <w:rFonts w:ascii="Arial" w:eastAsia="Cambria" w:hAnsi="Arial"/>
    </w:rPr>
  </w:style>
  <w:style w:type="character" w:styleId="EndnoteReference">
    <w:name w:val="endnote reference"/>
    <w:basedOn w:val="DefaultParagraphFont"/>
    <w:uiPriority w:val="99"/>
    <w:semiHidden/>
    <w:unhideWhenUsed/>
    <w:rsid w:val="00E258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FA"/>
    <w:rPr>
      <w:rFonts w:asciiTheme="minorHAnsi" w:hAnsiTheme="minorHAnsi"/>
      <w:sz w:val="24"/>
      <w:szCs w:val="24"/>
    </w:rPr>
  </w:style>
  <w:style w:type="paragraph" w:styleId="Heading1">
    <w:name w:val="heading 1"/>
    <w:basedOn w:val="Heading2"/>
    <w:next w:val="Normal"/>
    <w:autoRedefine/>
    <w:qFormat/>
    <w:rsid w:val="00AF4ECA"/>
    <w:pPr>
      <w:spacing w:after="120"/>
      <w:jc w:val="center"/>
      <w:outlineLvl w:val="0"/>
    </w:pPr>
    <w:rPr>
      <w:sz w:val="36"/>
      <w:szCs w:val="36"/>
      <w:u w:val="none"/>
    </w:rPr>
  </w:style>
  <w:style w:type="paragraph" w:styleId="Heading2">
    <w:name w:val="heading 2"/>
    <w:basedOn w:val="Normal"/>
    <w:next w:val="Normal"/>
    <w:autoRedefine/>
    <w:qFormat/>
    <w:rsid w:val="005022FA"/>
    <w:pPr>
      <w:keepNext/>
      <w:overflowPunct w:val="0"/>
      <w:autoSpaceDE w:val="0"/>
      <w:autoSpaceDN w:val="0"/>
      <w:adjustRightInd w:val="0"/>
      <w:jc w:val="both"/>
      <w:textAlignment w:val="baseline"/>
      <w:outlineLvl w:val="1"/>
    </w:pPr>
    <w:rPr>
      <w:rFonts w:asciiTheme="majorHAnsi" w:hAnsiTheme="majorHAnsi"/>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jc w:val="both"/>
      <w:textAlignment w:val="baseline"/>
    </w:pPr>
    <w:rPr>
      <w:rFonts w:ascii="Arial" w:hAnsi="Arial"/>
      <w:sz w:val="20"/>
      <w:szCs w:val="20"/>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sz w:val="20"/>
      <w:szCs w:val="20"/>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ind w:left="1170" w:hanging="630"/>
      <w:jc w:val="both"/>
    </w:pPr>
    <w:rPr>
      <w:rFonts w:ascii="Arial" w:hAnsi="Arial"/>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34E20"/>
    <w:rPr>
      <w:rFonts w:ascii="Tahoma" w:hAnsi="Tahoma"/>
      <w:sz w:val="16"/>
      <w:szCs w:val="16"/>
      <w:lang w:val="x-none" w:eastAsia="x-none"/>
    </w:rPr>
  </w:style>
  <w:style w:type="character" w:customStyle="1" w:styleId="BalloonTextChar">
    <w:name w:val="Balloon Text Char"/>
    <w:link w:val="BalloonText"/>
    <w:uiPriority w:val="99"/>
    <w:semiHidden/>
    <w:rsid w:val="00334E20"/>
    <w:rPr>
      <w:rFonts w:ascii="Tahoma" w:hAnsi="Tahoma" w:cs="Tahoma"/>
      <w:sz w:val="16"/>
      <w:szCs w:val="16"/>
    </w:rPr>
  </w:style>
  <w:style w:type="character" w:customStyle="1" w:styleId="HeaderChar">
    <w:name w:val="Header Char"/>
    <w:link w:val="Header"/>
    <w:uiPriority w:val="99"/>
    <w:rsid w:val="00204567"/>
  </w:style>
  <w:style w:type="character" w:customStyle="1" w:styleId="FooterChar">
    <w:name w:val="Footer Char"/>
    <w:link w:val="Footer"/>
    <w:uiPriority w:val="99"/>
    <w:rsid w:val="00204567"/>
    <w:rPr>
      <w:sz w:val="24"/>
      <w:szCs w:val="24"/>
    </w:rPr>
  </w:style>
  <w:style w:type="character" w:styleId="CommentReference">
    <w:name w:val="annotation reference"/>
    <w:uiPriority w:val="99"/>
    <w:semiHidden/>
    <w:unhideWhenUsed/>
    <w:rsid w:val="00467290"/>
    <w:rPr>
      <w:sz w:val="16"/>
      <w:szCs w:val="16"/>
    </w:rPr>
  </w:style>
  <w:style w:type="paragraph" w:styleId="CommentText">
    <w:name w:val="annotation text"/>
    <w:basedOn w:val="Normal"/>
    <w:link w:val="CommentTextChar"/>
    <w:uiPriority w:val="99"/>
    <w:semiHidden/>
    <w:unhideWhenUsed/>
    <w:rsid w:val="00467290"/>
    <w:rPr>
      <w:sz w:val="20"/>
      <w:szCs w:val="20"/>
    </w:rPr>
  </w:style>
  <w:style w:type="character" w:customStyle="1" w:styleId="CommentTextChar">
    <w:name w:val="Comment Text Char"/>
    <w:basedOn w:val="DefaultParagraphFont"/>
    <w:link w:val="CommentText"/>
    <w:uiPriority w:val="99"/>
    <w:semiHidden/>
    <w:rsid w:val="00467290"/>
  </w:style>
  <w:style w:type="paragraph" w:styleId="CommentSubject">
    <w:name w:val="annotation subject"/>
    <w:basedOn w:val="CommentText"/>
    <w:next w:val="CommentText"/>
    <w:link w:val="CommentSubjectChar"/>
    <w:uiPriority w:val="99"/>
    <w:semiHidden/>
    <w:unhideWhenUsed/>
    <w:rsid w:val="00467290"/>
    <w:rPr>
      <w:b/>
      <w:bCs/>
    </w:rPr>
  </w:style>
  <w:style w:type="character" w:customStyle="1" w:styleId="CommentSubjectChar">
    <w:name w:val="Comment Subject Char"/>
    <w:link w:val="CommentSubject"/>
    <w:uiPriority w:val="99"/>
    <w:semiHidden/>
    <w:rsid w:val="00467290"/>
    <w:rPr>
      <w:b/>
      <w:bCs/>
    </w:rPr>
  </w:style>
  <w:style w:type="paragraph" w:styleId="Title">
    <w:name w:val="Title"/>
    <w:basedOn w:val="Heading2"/>
    <w:next w:val="Normal"/>
    <w:link w:val="TitleChar"/>
    <w:autoRedefine/>
    <w:uiPriority w:val="10"/>
    <w:qFormat/>
    <w:rsid w:val="005022FA"/>
    <w:pPr>
      <w:spacing w:after="120"/>
      <w:jc w:val="center"/>
    </w:pPr>
    <w:rPr>
      <w:bCs/>
      <w:sz w:val="36"/>
      <w:szCs w:val="28"/>
      <w:u w:val="none"/>
    </w:rPr>
  </w:style>
  <w:style w:type="character" w:customStyle="1" w:styleId="TitleChar">
    <w:name w:val="Title Char"/>
    <w:link w:val="Title"/>
    <w:uiPriority w:val="10"/>
    <w:rsid w:val="005022FA"/>
    <w:rPr>
      <w:rFonts w:asciiTheme="majorHAnsi" w:hAnsiTheme="majorHAnsi"/>
      <w:b/>
      <w:bCs/>
      <w:sz w:val="36"/>
      <w:szCs w:val="28"/>
    </w:rPr>
  </w:style>
  <w:style w:type="table" w:styleId="TableGrid">
    <w:name w:val="Table Grid"/>
    <w:basedOn w:val="TableNormal"/>
    <w:uiPriority w:val="59"/>
    <w:rsid w:val="00DA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4378C"/>
    <w:pPr>
      <w:spacing w:after="200" w:line="276" w:lineRule="auto"/>
      <w:ind w:left="720"/>
      <w:contextualSpacing/>
    </w:pPr>
    <w:rPr>
      <w:rFonts w:ascii="Calibri" w:eastAsia="Calibri" w:hAnsi="Calibri"/>
      <w:sz w:val="22"/>
      <w:szCs w:val="22"/>
    </w:rPr>
  </w:style>
  <w:style w:type="character" w:styleId="Hyperlink">
    <w:name w:val="Hyperlink"/>
    <w:uiPriority w:val="99"/>
    <w:rsid w:val="0044378C"/>
    <w:rPr>
      <w:color w:val="0000FF"/>
      <w:u w:val="single"/>
    </w:rPr>
  </w:style>
  <w:style w:type="character" w:styleId="FollowedHyperlink">
    <w:name w:val="FollowedHyperlink"/>
    <w:basedOn w:val="DefaultParagraphFont"/>
    <w:uiPriority w:val="99"/>
    <w:semiHidden/>
    <w:unhideWhenUsed/>
    <w:rsid w:val="00B26494"/>
    <w:rPr>
      <w:color w:val="954F72" w:themeColor="followedHyperlink"/>
      <w:u w:val="single"/>
    </w:rPr>
  </w:style>
  <w:style w:type="paragraph" w:styleId="NoSpacing">
    <w:name w:val="No Spacing"/>
    <w:uiPriority w:val="1"/>
    <w:qFormat/>
    <w:rsid w:val="005022FA"/>
    <w:rPr>
      <w:rFonts w:asciiTheme="minorHAnsi" w:hAnsiTheme="minorHAnsi"/>
      <w:sz w:val="24"/>
      <w:szCs w:val="24"/>
    </w:rPr>
  </w:style>
  <w:style w:type="paragraph" w:styleId="EndnoteText">
    <w:name w:val="endnote text"/>
    <w:basedOn w:val="Normal"/>
    <w:link w:val="EndnoteTextChar"/>
    <w:uiPriority w:val="99"/>
    <w:semiHidden/>
    <w:unhideWhenUsed/>
    <w:rsid w:val="00E2580D"/>
    <w:pPr>
      <w:spacing w:after="200"/>
    </w:pPr>
    <w:rPr>
      <w:rFonts w:ascii="Arial" w:eastAsia="Cambria" w:hAnsi="Arial"/>
      <w:sz w:val="20"/>
      <w:szCs w:val="20"/>
    </w:rPr>
  </w:style>
  <w:style w:type="character" w:customStyle="1" w:styleId="EndnoteTextChar">
    <w:name w:val="Endnote Text Char"/>
    <w:basedOn w:val="DefaultParagraphFont"/>
    <w:link w:val="EndnoteText"/>
    <w:uiPriority w:val="99"/>
    <w:semiHidden/>
    <w:rsid w:val="00E2580D"/>
    <w:rPr>
      <w:rFonts w:ascii="Arial" w:eastAsia="Cambria" w:hAnsi="Arial"/>
    </w:rPr>
  </w:style>
  <w:style w:type="character" w:styleId="EndnoteReference">
    <w:name w:val="endnote reference"/>
    <w:basedOn w:val="DefaultParagraphFont"/>
    <w:uiPriority w:val="99"/>
    <w:semiHidden/>
    <w:unhideWhenUsed/>
    <w:rsid w:val="00E258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3843">
      <w:bodyDiv w:val="1"/>
      <w:marLeft w:val="0"/>
      <w:marRight w:val="0"/>
      <w:marTop w:val="0"/>
      <w:marBottom w:val="0"/>
      <w:divBdr>
        <w:top w:val="none" w:sz="0" w:space="0" w:color="auto"/>
        <w:left w:val="none" w:sz="0" w:space="0" w:color="auto"/>
        <w:bottom w:val="none" w:sz="0" w:space="0" w:color="auto"/>
        <w:right w:val="none" w:sz="0" w:space="0" w:color="auto"/>
      </w:divBdr>
    </w:div>
    <w:div w:id="358511519">
      <w:bodyDiv w:val="1"/>
      <w:marLeft w:val="0"/>
      <w:marRight w:val="0"/>
      <w:marTop w:val="0"/>
      <w:marBottom w:val="0"/>
      <w:divBdr>
        <w:top w:val="none" w:sz="0" w:space="0" w:color="auto"/>
        <w:left w:val="none" w:sz="0" w:space="0" w:color="auto"/>
        <w:bottom w:val="none" w:sz="0" w:space="0" w:color="auto"/>
        <w:right w:val="none" w:sz="0" w:space="0" w:color="auto"/>
      </w:divBdr>
    </w:div>
    <w:div w:id="51199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c.gov/hicpac/pdf/guidelines/Disinfection_Nov_2008.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Externally%20Funded%20Projects\AHRQ\CAUTI-LTC-AHRQ-80321\Content%20Development\AHRQ-Project%20End\Templates\Appendi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0BEE69E-8691-479E-95F6-8F93988F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Appendix.dotx</Template>
  <TotalTime>5</TotalTime>
  <Pages>1</Pages>
  <Words>397</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BLADDER SCAN – POLICY #2202  12/11/06</vt:lpstr>
    </vt:vector>
  </TitlesOfParts>
  <Company>St. John Health System</Company>
  <LinksUpToDate>false</LinksUpToDate>
  <CharactersWithSpaces>2680</CharactersWithSpaces>
  <SharedDoc>false</SharedDoc>
  <HLinks>
    <vt:vector size="6" baseType="variant">
      <vt:variant>
        <vt:i4>917513</vt:i4>
      </vt:variant>
      <vt:variant>
        <vt:i4>0</vt:i4>
      </vt:variant>
      <vt:variant>
        <vt:i4>0</vt:i4>
      </vt:variant>
      <vt:variant>
        <vt:i4>5</vt:i4>
      </vt:variant>
      <vt:variant>
        <vt:lpwstr>http://www.ncbi.nlm.nih.gov/pmc/articles/PMC3379524/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BLADDER SCAN – POLICY #2202  12/11/06</dc:title>
  <dc:creator>Wilkins, Amanda</dc:creator>
  <cp:lastModifiedBy>Chris Heidenrich OCKT</cp:lastModifiedBy>
  <cp:revision>5</cp:revision>
  <cp:lastPrinted>2007-01-23T17:35:00Z</cp:lastPrinted>
  <dcterms:created xsi:type="dcterms:W3CDTF">2016-09-14T22:21:00Z</dcterms:created>
  <dcterms:modified xsi:type="dcterms:W3CDTF">2017-02-06T19:33:00Z</dcterms:modified>
</cp:coreProperties>
</file>